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7C" w:rsidRPr="004464A2" w:rsidRDefault="00A4267C" w:rsidP="00A4267C">
      <w:pPr>
        <w:spacing w:after="0" w:line="240" w:lineRule="auto"/>
        <w:jc w:val="center"/>
        <w:rPr>
          <w:b/>
          <w:sz w:val="24"/>
        </w:rPr>
      </w:pPr>
      <w:r w:rsidRPr="004464A2">
        <w:rPr>
          <w:b/>
          <w:sz w:val="24"/>
        </w:rPr>
        <w:t>Classical Philosophy of India (</w:t>
      </w:r>
      <w:r w:rsidRPr="004464A2">
        <w:rPr>
          <w:b/>
          <w:bCs/>
          <w:sz w:val="24"/>
        </w:rPr>
        <w:t>CLAS 1140 S01)</w:t>
      </w:r>
      <w:r w:rsidRPr="004464A2">
        <w:rPr>
          <w:b/>
          <w:sz w:val="24"/>
        </w:rPr>
        <w:t xml:space="preserve"> – </w:t>
      </w:r>
      <w:proofErr w:type="gramStart"/>
      <w:r w:rsidRPr="004464A2">
        <w:rPr>
          <w:b/>
          <w:sz w:val="24"/>
        </w:rPr>
        <w:t>Spring</w:t>
      </w:r>
      <w:proofErr w:type="gramEnd"/>
      <w:r w:rsidRPr="004464A2">
        <w:rPr>
          <w:b/>
          <w:sz w:val="24"/>
        </w:rPr>
        <w:t xml:space="preserve"> 2014</w:t>
      </w:r>
    </w:p>
    <w:p w:rsidR="006755B0" w:rsidRDefault="00A4267C" w:rsidP="009D1D75">
      <w:pPr>
        <w:spacing w:after="0" w:line="240" w:lineRule="auto"/>
        <w:jc w:val="center"/>
        <w:rPr>
          <w:b/>
          <w:sz w:val="24"/>
        </w:rPr>
      </w:pPr>
      <w:r w:rsidRPr="004464A2">
        <w:rPr>
          <w:b/>
          <w:sz w:val="24"/>
        </w:rPr>
        <w:t>David Buchta, Departmen</w:t>
      </w:r>
      <w:r w:rsidR="009D1D75">
        <w:rPr>
          <w:b/>
          <w:sz w:val="24"/>
        </w:rPr>
        <w:t>t of Classics, Brown University</w:t>
      </w:r>
    </w:p>
    <w:p w:rsidR="009D1D75" w:rsidRPr="009D1D75" w:rsidRDefault="009D1D75" w:rsidP="009D1D75">
      <w:pPr>
        <w:spacing w:after="0" w:line="240" w:lineRule="auto"/>
        <w:jc w:val="center"/>
        <w:rPr>
          <w:b/>
          <w:sz w:val="24"/>
        </w:rPr>
      </w:pPr>
    </w:p>
    <w:p w:rsidR="00A4267C" w:rsidRPr="004464A2" w:rsidRDefault="00A4267C" w:rsidP="00A4267C">
      <w:pPr>
        <w:spacing w:after="0" w:line="240" w:lineRule="auto"/>
        <w:jc w:val="both"/>
        <w:rPr>
          <w:b/>
        </w:rPr>
      </w:pPr>
      <w:r w:rsidRPr="004464A2">
        <w:rPr>
          <w:b/>
        </w:rPr>
        <w:t>Location and Time:</w:t>
      </w:r>
    </w:p>
    <w:p w:rsidR="00A4267C" w:rsidRPr="004464A2" w:rsidRDefault="00A4267C" w:rsidP="00A4267C">
      <w:pPr>
        <w:spacing w:after="0" w:line="240" w:lineRule="auto"/>
        <w:jc w:val="both"/>
      </w:pPr>
      <w:r w:rsidRPr="004464A2">
        <w:t>9:00-10:20 TR, Wilson Hall 106</w:t>
      </w:r>
    </w:p>
    <w:p w:rsidR="00A4267C" w:rsidRPr="004464A2" w:rsidRDefault="00A4267C" w:rsidP="00A4267C">
      <w:pPr>
        <w:spacing w:after="0" w:line="240" w:lineRule="auto"/>
        <w:jc w:val="both"/>
      </w:pPr>
    </w:p>
    <w:p w:rsidR="00A4267C" w:rsidRPr="004464A2" w:rsidRDefault="00A4267C" w:rsidP="00A4267C">
      <w:pPr>
        <w:spacing w:after="0" w:line="240" w:lineRule="auto"/>
        <w:jc w:val="both"/>
        <w:rPr>
          <w:b/>
        </w:rPr>
      </w:pPr>
      <w:r w:rsidRPr="004464A2">
        <w:rPr>
          <w:b/>
        </w:rPr>
        <w:t>Office Hours:</w:t>
      </w:r>
    </w:p>
    <w:p w:rsidR="00A4267C" w:rsidRPr="004464A2" w:rsidRDefault="00A4267C" w:rsidP="00A4267C">
      <w:pPr>
        <w:spacing w:after="0" w:line="240" w:lineRule="auto"/>
        <w:jc w:val="both"/>
      </w:pPr>
      <w:r w:rsidRPr="004464A2">
        <w:t xml:space="preserve">TTh10:45-11:45 in </w:t>
      </w:r>
      <w:proofErr w:type="spellStart"/>
      <w:r w:rsidRPr="004464A2">
        <w:t>Wilbour</w:t>
      </w:r>
      <w:proofErr w:type="spellEnd"/>
      <w:r w:rsidRPr="004464A2">
        <w:t xml:space="preserve"> Hall 005, or by appointment</w:t>
      </w:r>
    </w:p>
    <w:p w:rsidR="00A4267C" w:rsidRPr="004464A2" w:rsidRDefault="00A4267C" w:rsidP="00A4267C">
      <w:pPr>
        <w:spacing w:after="0" w:line="240" w:lineRule="auto"/>
        <w:jc w:val="both"/>
      </w:pPr>
    </w:p>
    <w:p w:rsidR="00A4267C" w:rsidRDefault="00A4267C" w:rsidP="00A4267C">
      <w:pPr>
        <w:spacing w:after="0" w:line="240" w:lineRule="auto"/>
        <w:jc w:val="both"/>
        <w:rPr>
          <w:b/>
          <w:iCs/>
        </w:rPr>
      </w:pPr>
      <w:r w:rsidRPr="004464A2">
        <w:rPr>
          <w:b/>
          <w:iCs/>
        </w:rPr>
        <w:t>Introduction:</w:t>
      </w:r>
    </w:p>
    <w:p w:rsidR="00BB1F27" w:rsidRDefault="00BB1F27" w:rsidP="00A4267C">
      <w:pPr>
        <w:spacing w:after="0" w:line="240" w:lineRule="auto"/>
        <w:jc w:val="both"/>
        <w:rPr>
          <w:iCs/>
        </w:rPr>
      </w:pPr>
      <w:r>
        <w:rPr>
          <w:iCs/>
        </w:rPr>
        <w:tab/>
        <w:t xml:space="preserve">India has a long and profound tradition of philosophy extending from the earliest Vedic texts to today. Topics include epistemology, the nature of the self, theories of karma and moral accountability, soteriology, the conflict between idealism and realism, the existence or non-existence of god or an ultimate reality, and the nature of human language. Philosophical approaches range from mystical speculation to hard-nosed analytic philosophy. Canonical texts such as the </w:t>
      </w:r>
      <w:proofErr w:type="spellStart"/>
      <w:r w:rsidR="00762928">
        <w:rPr>
          <w:iCs/>
        </w:rPr>
        <w:t>Upaniṣad</w:t>
      </w:r>
      <w:proofErr w:type="spellEnd"/>
      <w:r w:rsidR="00762928">
        <w:rPr>
          <w:iCs/>
        </w:rPr>
        <w:t xml:space="preserve">, the </w:t>
      </w:r>
      <w:proofErr w:type="spellStart"/>
      <w:r w:rsidR="00762928">
        <w:rPr>
          <w:i/>
          <w:iCs/>
        </w:rPr>
        <w:t>Bhagavadgītā</w:t>
      </w:r>
      <w:proofErr w:type="spellEnd"/>
      <w:r w:rsidR="00762928">
        <w:rPr>
          <w:iCs/>
        </w:rPr>
        <w:t xml:space="preserve">, the Buddhist </w:t>
      </w:r>
      <w:proofErr w:type="spellStart"/>
      <w:r w:rsidR="00762928">
        <w:rPr>
          <w:i/>
          <w:iCs/>
        </w:rPr>
        <w:t>Tipiṭaka</w:t>
      </w:r>
      <w:proofErr w:type="spellEnd"/>
      <w:r w:rsidR="00762928">
        <w:rPr>
          <w:i/>
          <w:iCs/>
        </w:rPr>
        <w:t xml:space="preserve">, </w:t>
      </w:r>
      <w:r w:rsidR="00762928">
        <w:rPr>
          <w:iCs/>
        </w:rPr>
        <w:t xml:space="preserve">the </w:t>
      </w:r>
      <w:proofErr w:type="spellStart"/>
      <w:r w:rsidR="00762928">
        <w:rPr>
          <w:i/>
          <w:iCs/>
        </w:rPr>
        <w:t>Yogasūtras</w:t>
      </w:r>
      <w:proofErr w:type="spellEnd"/>
      <w:r w:rsidR="00762928">
        <w:rPr>
          <w:iCs/>
        </w:rPr>
        <w:t>, etc. continued to exert an influence while being reinterpreted over generations in various schools of thought.</w:t>
      </w:r>
    </w:p>
    <w:p w:rsidR="00762928" w:rsidRPr="00762928" w:rsidRDefault="00762928" w:rsidP="00A4267C">
      <w:pPr>
        <w:spacing w:after="0" w:line="240" w:lineRule="auto"/>
        <w:jc w:val="both"/>
        <w:rPr>
          <w:iCs/>
        </w:rPr>
      </w:pPr>
      <w:r>
        <w:rPr>
          <w:iCs/>
        </w:rPr>
        <w:tab/>
        <w:t>This course will offer an in-depth introduction to these traditio</w:t>
      </w:r>
      <w:r w:rsidR="009D1D75">
        <w:rPr>
          <w:iCs/>
        </w:rPr>
        <w:t>ns in pre-modernity. While the breadth of this material is extremely vast, the course is meant to acquaint students with some of the common and debated premises and terms of Indian philosophical discourse. After a brief examination of some of the earliest foundational texts, the course will survey most of the major schools of thought. With that background established, the last few weeks of the course will turn to topics debated between the schools: the nature of the self, agency, morality, and the nature of ultimate beatitude or liberation.</w:t>
      </w:r>
    </w:p>
    <w:p w:rsidR="00A4267C" w:rsidRPr="004464A2" w:rsidRDefault="00A4267C" w:rsidP="00A4267C">
      <w:pPr>
        <w:spacing w:after="0" w:line="240" w:lineRule="auto"/>
        <w:jc w:val="both"/>
        <w:rPr>
          <w:b/>
          <w:iCs/>
        </w:rPr>
      </w:pPr>
    </w:p>
    <w:p w:rsidR="00A4267C" w:rsidRPr="004464A2" w:rsidRDefault="00A4267C" w:rsidP="00A4267C">
      <w:pPr>
        <w:spacing w:after="0" w:line="240" w:lineRule="auto"/>
        <w:jc w:val="both"/>
        <w:rPr>
          <w:b/>
        </w:rPr>
      </w:pPr>
      <w:r w:rsidRPr="004464A2">
        <w:rPr>
          <w:b/>
        </w:rPr>
        <w:t>Course Textbook:</w:t>
      </w:r>
    </w:p>
    <w:p w:rsidR="004464A2" w:rsidRDefault="004464A2" w:rsidP="004464A2">
      <w:pPr>
        <w:pStyle w:val="ListParagraph"/>
        <w:numPr>
          <w:ilvl w:val="0"/>
          <w:numId w:val="4"/>
        </w:numPr>
        <w:spacing w:after="0" w:line="240" w:lineRule="auto"/>
        <w:jc w:val="both"/>
      </w:pPr>
      <w:proofErr w:type="spellStart"/>
      <w:r>
        <w:t>Radhakri</w:t>
      </w:r>
      <w:r w:rsidR="009022D1">
        <w:t>shnan</w:t>
      </w:r>
      <w:proofErr w:type="spellEnd"/>
      <w:r w:rsidR="009022D1">
        <w:t xml:space="preserve"> and</w:t>
      </w:r>
      <w:r>
        <w:t xml:space="preserve"> Moore, </w:t>
      </w:r>
      <w:proofErr w:type="gramStart"/>
      <w:r>
        <w:t>eds</w:t>
      </w:r>
      <w:proofErr w:type="gramEnd"/>
      <w:r>
        <w:t xml:space="preserve">. </w:t>
      </w:r>
      <w:r>
        <w:rPr>
          <w:i/>
        </w:rPr>
        <w:t>A Sourcebook in Indian Philosophy</w:t>
      </w:r>
      <w:r>
        <w:t>, Princeton.</w:t>
      </w:r>
    </w:p>
    <w:p w:rsidR="004464A2" w:rsidRDefault="009022D1" w:rsidP="004464A2">
      <w:pPr>
        <w:pStyle w:val="ListParagraph"/>
        <w:numPr>
          <w:ilvl w:val="0"/>
          <w:numId w:val="4"/>
        </w:numPr>
        <w:spacing w:after="0" w:line="240" w:lineRule="auto"/>
        <w:jc w:val="both"/>
      </w:pPr>
      <w:proofErr w:type="spellStart"/>
      <w:r>
        <w:rPr>
          <w:i/>
        </w:rPr>
        <w:t>Bhagavadgītā</w:t>
      </w:r>
      <w:proofErr w:type="spellEnd"/>
      <w:r>
        <w:t xml:space="preserve"> – You are free to use a translation of your choice, but check with me if it is not one of the following recommended translations: Barbara </w:t>
      </w:r>
      <w:proofErr w:type="spellStart"/>
      <w:r>
        <w:t>Stoller</w:t>
      </w:r>
      <w:proofErr w:type="spellEnd"/>
      <w:r>
        <w:t xml:space="preserve"> Miller, Franklin Edgerton, Laurie Patton, Winthrop </w:t>
      </w:r>
      <w:proofErr w:type="spellStart"/>
      <w:r>
        <w:t>Sargeant</w:t>
      </w:r>
      <w:proofErr w:type="spellEnd"/>
    </w:p>
    <w:p w:rsidR="009022D1" w:rsidRPr="00746998" w:rsidRDefault="009022D1" w:rsidP="004464A2">
      <w:pPr>
        <w:pStyle w:val="ListParagraph"/>
        <w:numPr>
          <w:ilvl w:val="0"/>
          <w:numId w:val="4"/>
        </w:numPr>
        <w:spacing w:after="0" w:line="240" w:lineRule="auto"/>
        <w:jc w:val="both"/>
      </w:pPr>
      <w:proofErr w:type="spellStart"/>
      <w:r>
        <w:t>Dasti</w:t>
      </w:r>
      <w:proofErr w:type="spellEnd"/>
      <w:r>
        <w:t xml:space="preserve"> and Bryant. </w:t>
      </w:r>
      <w:r>
        <w:rPr>
          <w:i/>
        </w:rPr>
        <w:t>Free Will, Agency, and Selfhood in Indian Philosophy</w:t>
      </w:r>
    </w:p>
    <w:p w:rsidR="00746998" w:rsidRDefault="00746998" w:rsidP="004464A2">
      <w:pPr>
        <w:pStyle w:val="ListParagraph"/>
        <w:numPr>
          <w:ilvl w:val="0"/>
          <w:numId w:val="4"/>
        </w:numPr>
        <w:spacing w:after="0" w:line="240" w:lineRule="auto"/>
        <w:jc w:val="both"/>
      </w:pPr>
      <w:r>
        <w:t xml:space="preserve">Fort and </w:t>
      </w:r>
      <w:proofErr w:type="spellStart"/>
      <w:r>
        <w:t>Mumme</w:t>
      </w:r>
      <w:proofErr w:type="spellEnd"/>
      <w:r>
        <w:t xml:space="preserve">, </w:t>
      </w:r>
      <w:r>
        <w:rPr>
          <w:i/>
        </w:rPr>
        <w:t>Living Liberation in Hindu Thought</w:t>
      </w:r>
    </w:p>
    <w:p w:rsidR="009022D1" w:rsidRPr="004464A2" w:rsidRDefault="009022D1" w:rsidP="009022D1">
      <w:pPr>
        <w:spacing w:after="0" w:line="240" w:lineRule="auto"/>
        <w:jc w:val="both"/>
      </w:pPr>
      <w:r>
        <w:t>The remaining course readings will be made available through Canvas, or links will be provided for content available on the internet.</w:t>
      </w:r>
    </w:p>
    <w:p w:rsidR="00A4267C" w:rsidRPr="004464A2" w:rsidRDefault="00A4267C" w:rsidP="00A4267C">
      <w:pPr>
        <w:spacing w:after="0" w:line="240" w:lineRule="auto"/>
        <w:jc w:val="both"/>
        <w:rPr>
          <w:b/>
          <w:iCs/>
        </w:rPr>
      </w:pPr>
    </w:p>
    <w:p w:rsidR="00A4267C" w:rsidRPr="004464A2" w:rsidRDefault="00CE5FE1" w:rsidP="00A4267C">
      <w:pPr>
        <w:spacing w:after="0" w:line="240" w:lineRule="auto"/>
        <w:jc w:val="both"/>
        <w:rPr>
          <w:b/>
          <w:iCs/>
        </w:rPr>
      </w:pPr>
      <w:r>
        <w:rPr>
          <w:b/>
          <w:iCs/>
        </w:rPr>
        <w:t>Assignments and Grading</w:t>
      </w:r>
      <w:r w:rsidR="00A4267C" w:rsidRPr="004464A2">
        <w:rPr>
          <w:b/>
          <w:iCs/>
        </w:rPr>
        <w:t>:</w:t>
      </w:r>
    </w:p>
    <w:p w:rsidR="005104E5" w:rsidRDefault="00EB425C" w:rsidP="005104E5">
      <w:pPr>
        <w:pStyle w:val="ListParagraph"/>
        <w:numPr>
          <w:ilvl w:val="0"/>
          <w:numId w:val="11"/>
        </w:numPr>
        <w:spacing w:after="0" w:line="240" w:lineRule="auto"/>
        <w:jc w:val="both"/>
        <w:rPr>
          <w:iCs/>
        </w:rPr>
      </w:pPr>
      <w:r>
        <w:rPr>
          <w:iCs/>
        </w:rPr>
        <w:t>15</w:t>
      </w:r>
      <w:r w:rsidR="00CE5FE1" w:rsidRPr="00CE5FE1">
        <w:rPr>
          <w:iCs/>
        </w:rPr>
        <w:t xml:space="preserve">% </w:t>
      </w:r>
      <w:r w:rsidR="00CE5FE1" w:rsidRPr="00CE5FE1">
        <w:rPr>
          <w:iCs/>
        </w:rPr>
        <w:t>Reading Responses</w:t>
      </w:r>
      <w:r w:rsidR="00CE5FE1">
        <w:rPr>
          <w:iCs/>
        </w:rPr>
        <w:t xml:space="preserve">: </w:t>
      </w:r>
      <w:r w:rsidR="005104E5">
        <w:rPr>
          <w:iCs/>
        </w:rPr>
        <w:t>A choice of prompts will be distributed for e</w:t>
      </w:r>
      <w:r>
        <w:rPr>
          <w:iCs/>
        </w:rPr>
        <w:t>ach class. Students should write</w:t>
      </w:r>
      <w:r w:rsidR="005104E5">
        <w:rPr>
          <w:iCs/>
        </w:rPr>
        <w:t xml:space="preserve"> a very brief (1/2 page) response based on the reading assignments</w:t>
      </w:r>
      <w:r>
        <w:rPr>
          <w:iCs/>
        </w:rPr>
        <w:t>. Students may either submit these by email at least 30 minutes before class or</w:t>
      </w:r>
      <w:r w:rsidR="00942B3A">
        <w:rPr>
          <w:iCs/>
        </w:rPr>
        <w:t xml:space="preserve"> submit</w:t>
      </w:r>
      <w:r>
        <w:rPr>
          <w:iCs/>
        </w:rPr>
        <w:t xml:space="preserve"> in hard copy at the beginning of class.</w:t>
      </w:r>
    </w:p>
    <w:p w:rsidR="005104E5" w:rsidRDefault="005104E5" w:rsidP="005104E5">
      <w:pPr>
        <w:pStyle w:val="ListParagraph"/>
        <w:numPr>
          <w:ilvl w:val="0"/>
          <w:numId w:val="11"/>
        </w:numPr>
        <w:spacing w:after="0" w:line="240" w:lineRule="auto"/>
        <w:jc w:val="both"/>
        <w:rPr>
          <w:iCs/>
        </w:rPr>
      </w:pPr>
      <w:r w:rsidRPr="005104E5">
        <w:rPr>
          <w:iCs/>
        </w:rPr>
        <w:t>10% Class Participation: Attendance and active engagement in class</w:t>
      </w:r>
      <w:r w:rsidR="00942B3A">
        <w:rPr>
          <w:iCs/>
        </w:rPr>
        <w:t xml:space="preserve"> discussions. Please bring an extra copy of your </w:t>
      </w:r>
      <w:r w:rsidRPr="005104E5">
        <w:rPr>
          <w:iCs/>
        </w:rPr>
        <w:t>reading responses to class, as sharing these can be a cen</w:t>
      </w:r>
      <w:r>
        <w:rPr>
          <w:iCs/>
        </w:rPr>
        <w:t>tral part of class participation</w:t>
      </w:r>
    </w:p>
    <w:p w:rsidR="005104E5" w:rsidRDefault="00EB425C" w:rsidP="00A4267C">
      <w:pPr>
        <w:pStyle w:val="ListParagraph"/>
        <w:numPr>
          <w:ilvl w:val="0"/>
          <w:numId w:val="11"/>
        </w:numPr>
        <w:spacing w:after="0" w:line="240" w:lineRule="auto"/>
        <w:jc w:val="both"/>
        <w:rPr>
          <w:iCs/>
        </w:rPr>
      </w:pPr>
      <w:r>
        <w:rPr>
          <w:iCs/>
        </w:rPr>
        <w:t>3</w:t>
      </w:r>
      <w:r w:rsidR="005104E5">
        <w:rPr>
          <w:iCs/>
        </w:rPr>
        <w:t xml:space="preserve">0% </w:t>
      </w:r>
      <w:proofErr w:type="spellStart"/>
      <w:r w:rsidR="005104E5">
        <w:rPr>
          <w:iCs/>
        </w:rPr>
        <w:t>Quizes</w:t>
      </w:r>
      <w:proofErr w:type="spellEnd"/>
      <w:r w:rsidR="005104E5">
        <w:rPr>
          <w:iCs/>
        </w:rPr>
        <w:t>: There will be two brief (15 minute) quizzes during the semester. These will focus on first-order learning, consisting of short answers and definitions. A prep sheet will be distributed the week before.</w:t>
      </w:r>
    </w:p>
    <w:p w:rsidR="00EB425C" w:rsidRDefault="005104E5" w:rsidP="00A4267C">
      <w:pPr>
        <w:pStyle w:val="ListParagraph"/>
        <w:numPr>
          <w:ilvl w:val="0"/>
          <w:numId w:val="11"/>
        </w:numPr>
        <w:spacing w:after="0" w:line="240" w:lineRule="auto"/>
        <w:jc w:val="both"/>
        <w:rPr>
          <w:iCs/>
        </w:rPr>
      </w:pPr>
      <w:r>
        <w:rPr>
          <w:iCs/>
        </w:rPr>
        <w:t xml:space="preserve">10% </w:t>
      </w:r>
      <w:r w:rsidR="00EB425C">
        <w:rPr>
          <w:iCs/>
        </w:rPr>
        <w:t>Class Presentation</w:t>
      </w:r>
      <w:r w:rsidR="00942B3A">
        <w:rPr>
          <w:iCs/>
        </w:rPr>
        <w:t>: During the last three weeks of class, students will make a brief presentation in class on a particular school’s take on a given topic. Details (time length and individual vs. group presentations) will depend upon course enrollment.</w:t>
      </w:r>
    </w:p>
    <w:p w:rsidR="00EB425C" w:rsidRDefault="00EB425C" w:rsidP="00A4267C">
      <w:pPr>
        <w:pStyle w:val="ListParagraph"/>
        <w:numPr>
          <w:ilvl w:val="0"/>
          <w:numId w:val="11"/>
        </w:numPr>
        <w:spacing w:after="0" w:line="240" w:lineRule="auto"/>
        <w:jc w:val="both"/>
        <w:rPr>
          <w:iCs/>
        </w:rPr>
      </w:pPr>
      <w:r>
        <w:rPr>
          <w:iCs/>
        </w:rPr>
        <w:t>5% Abstract &amp; Bibliography: A one paragraph summary of the intended final paper topic and thesis, accompanied by a list of at least 5 sources (at least 3 from outside of the class reading).</w:t>
      </w:r>
      <w:r w:rsidR="00942B3A">
        <w:rPr>
          <w:iCs/>
        </w:rPr>
        <w:t xml:space="preserve"> Students are encouraged to schedule an office meeting with me beforehand to discuss paper topics.</w:t>
      </w:r>
    </w:p>
    <w:p w:rsidR="003F63F8" w:rsidRPr="00942B3A" w:rsidRDefault="00EB425C" w:rsidP="00A4267C">
      <w:pPr>
        <w:pStyle w:val="ListParagraph"/>
        <w:numPr>
          <w:ilvl w:val="0"/>
          <w:numId w:val="11"/>
        </w:numPr>
        <w:spacing w:after="0" w:line="240" w:lineRule="auto"/>
        <w:jc w:val="both"/>
        <w:rPr>
          <w:iCs/>
        </w:rPr>
      </w:pPr>
      <w:r>
        <w:rPr>
          <w:iCs/>
        </w:rPr>
        <w:t>30%</w:t>
      </w:r>
      <w:r w:rsidR="00CE5FE1" w:rsidRPr="005104E5">
        <w:rPr>
          <w:iCs/>
        </w:rPr>
        <w:t xml:space="preserve"> </w:t>
      </w:r>
      <w:r w:rsidR="003F63F8" w:rsidRPr="005104E5">
        <w:rPr>
          <w:iCs/>
        </w:rPr>
        <w:t>Final Paper</w:t>
      </w:r>
      <w:r>
        <w:rPr>
          <w:iCs/>
        </w:rPr>
        <w:t xml:space="preserve"> – A 10-15 page final paper on a topic chosen by the student and approved by the instructor. The paper may take a variety of approaches: an examination of the historical development of a philosophical issue, an argument for or against a particular philosophical position, a comparison of the treatment of a topic in two schools of thought (both Indian, or one Indian and one non-Indian)</w:t>
      </w:r>
      <w:r w:rsidR="00BA5337">
        <w:rPr>
          <w:iCs/>
        </w:rPr>
        <w:t xml:space="preserve">, etc. Papers are due by </w:t>
      </w:r>
      <w:r w:rsidR="00BA5337">
        <w:rPr>
          <w:b/>
          <w:iCs/>
        </w:rPr>
        <w:t>5PM on May 9</w:t>
      </w:r>
      <w:r w:rsidR="00BA5337" w:rsidRPr="00BA5337">
        <w:rPr>
          <w:b/>
          <w:iCs/>
          <w:vertAlign w:val="superscript"/>
        </w:rPr>
        <w:t>th</w:t>
      </w:r>
      <w:r w:rsidR="00BA5337">
        <w:rPr>
          <w:iCs/>
        </w:rPr>
        <w:t xml:space="preserve"> (by email and in hardcopy delivered to my mailbox in MacFarlane or </w:t>
      </w:r>
      <w:proofErr w:type="spellStart"/>
      <w:r w:rsidR="00BA5337">
        <w:rPr>
          <w:iCs/>
        </w:rPr>
        <w:t>Wilbour</w:t>
      </w:r>
      <w:proofErr w:type="spellEnd"/>
      <w:r w:rsidR="00BA5337">
        <w:rPr>
          <w:iCs/>
        </w:rPr>
        <w:t xml:space="preserve"> Hall) but students are </w:t>
      </w:r>
      <w:proofErr w:type="gramStart"/>
      <w:r w:rsidR="00BA5337">
        <w:rPr>
          <w:iCs/>
        </w:rPr>
        <w:t>encourage</w:t>
      </w:r>
      <w:proofErr w:type="gramEnd"/>
      <w:r w:rsidR="00BA5337">
        <w:rPr>
          <w:iCs/>
        </w:rPr>
        <w:t xml:space="preserve"> to submit a rough draft by April 28</w:t>
      </w:r>
      <w:r w:rsidR="00BA5337" w:rsidRPr="00BA5337">
        <w:rPr>
          <w:iCs/>
          <w:vertAlign w:val="superscript"/>
        </w:rPr>
        <w:t>th</w:t>
      </w:r>
      <w:r w:rsidR="00BA5337">
        <w:rPr>
          <w:iCs/>
        </w:rPr>
        <w:t xml:space="preserve"> for feedback.</w:t>
      </w:r>
    </w:p>
    <w:p w:rsidR="003D7868" w:rsidRDefault="003D7868" w:rsidP="00A4267C">
      <w:pPr>
        <w:spacing w:after="0" w:line="240" w:lineRule="auto"/>
        <w:jc w:val="both"/>
        <w:rPr>
          <w:b/>
          <w:iCs/>
        </w:rPr>
      </w:pPr>
    </w:p>
    <w:p w:rsidR="003D7868" w:rsidRDefault="003D7868" w:rsidP="00A4267C">
      <w:pPr>
        <w:spacing w:after="0" w:line="240" w:lineRule="auto"/>
        <w:jc w:val="both"/>
        <w:rPr>
          <w:b/>
          <w:iCs/>
        </w:rPr>
      </w:pPr>
    </w:p>
    <w:p w:rsidR="00A4267C" w:rsidRDefault="009D1D75" w:rsidP="00A4267C">
      <w:pPr>
        <w:spacing w:after="0" w:line="240" w:lineRule="auto"/>
        <w:jc w:val="both"/>
        <w:rPr>
          <w:b/>
        </w:rPr>
      </w:pPr>
      <w:r>
        <w:rPr>
          <w:b/>
        </w:rPr>
        <w:lastRenderedPageBreak/>
        <w:t>Schedule:</w:t>
      </w:r>
    </w:p>
    <w:p w:rsidR="009D1D75" w:rsidRPr="009D1D75" w:rsidRDefault="009D1D75" w:rsidP="00A4267C">
      <w:pPr>
        <w:spacing w:after="0" w:line="240" w:lineRule="auto"/>
        <w:jc w:val="both"/>
        <w:rPr>
          <w:b/>
        </w:rPr>
      </w:pPr>
    </w:p>
    <w:p w:rsidR="004600D5" w:rsidRDefault="00A4267C" w:rsidP="009D1D75">
      <w:pPr>
        <w:spacing w:after="0" w:line="240" w:lineRule="auto"/>
      </w:pPr>
      <w:r w:rsidRPr="003D7868">
        <w:rPr>
          <w:b/>
        </w:rPr>
        <w:t>Week 1:</w:t>
      </w:r>
      <w:r w:rsidRPr="004464A2">
        <w:t xml:space="preserve"> Introduction</w:t>
      </w:r>
      <w:r w:rsidR="004600D5" w:rsidRPr="004464A2">
        <w:t xml:space="preserve"> –</w:t>
      </w:r>
      <w:r w:rsidR="00BB1F27">
        <w:t xml:space="preserve"> Defining Terms</w:t>
      </w:r>
    </w:p>
    <w:p w:rsidR="003D7868" w:rsidRPr="003D7868" w:rsidRDefault="003D7868" w:rsidP="009D1D75">
      <w:pPr>
        <w:spacing w:after="0" w:line="240" w:lineRule="auto"/>
        <w:rPr>
          <w:sz w:val="16"/>
        </w:rPr>
      </w:pPr>
    </w:p>
    <w:p w:rsidR="009D1D75" w:rsidRDefault="00A4267C" w:rsidP="009D1D75">
      <w:pPr>
        <w:spacing w:after="0" w:line="240" w:lineRule="auto"/>
      </w:pPr>
      <w:r w:rsidRPr="003D7868">
        <w:rPr>
          <w:b/>
        </w:rPr>
        <w:t xml:space="preserve">Week 2: </w:t>
      </w:r>
      <w:r w:rsidRPr="004464A2">
        <w:t xml:space="preserve">Bird’s Eye View of Indian Philosophy &amp; Vedas &amp; </w:t>
      </w:r>
      <w:proofErr w:type="spellStart"/>
      <w:r w:rsidRPr="004464A2">
        <w:t>Upaniṣads</w:t>
      </w:r>
    </w:p>
    <w:p w:rsidR="004600D5" w:rsidRPr="004464A2" w:rsidRDefault="009D1D75" w:rsidP="003D7868">
      <w:pPr>
        <w:spacing w:after="0" w:line="240" w:lineRule="auto"/>
        <w:ind w:left="720"/>
      </w:pPr>
      <w:proofErr w:type="spellEnd"/>
      <w:r>
        <w:t xml:space="preserve">Readings: </w:t>
      </w:r>
      <w:proofErr w:type="spellStart"/>
      <w:r w:rsidR="004600D5" w:rsidRPr="004464A2">
        <w:t>Mohanty</w:t>
      </w:r>
      <w:proofErr w:type="spellEnd"/>
      <w:r w:rsidR="004600D5" w:rsidRPr="004464A2">
        <w:t>, “Indian Philosophy: A Historical Overview”</w:t>
      </w:r>
      <w:r>
        <w:t xml:space="preserve">; </w:t>
      </w:r>
      <w:r w:rsidR="004600D5" w:rsidRPr="004464A2">
        <w:t xml:space="preserve">Selections from the </w:t>
      </w:r>
      <w:proofErr w:type="spellStart"/>
      <w:r w:rsidR="004600D5" w:rsidRPr="004464A2">
        <w:rPr>
          <w:i/>
        </w:rPr>
        <w:t>Ṛgveda</w:t>
      </w:r>
      <w:proofErr w:type="spellEnd"/>
      <w:r>
        <w:rPr>
          <w:i/>
        </w:rPr>
        <w:t>;</w:t>
      </w:r>
      <w:r w:rsidR="005838EB">
        <w:rPr>
          <w:i/>
        </w:rPr>
        <w:t xml:space="preserve"> </w:t>
      </w:r>
      <w:bookmarkStart w:id="0" w:name="_GoBack"/>
      <w:bookmarkEnd w:id="0"/>
      <w:r w:rsidR="004600D5" w:rsidRPr="004464A2">
        <w:t xml:space="preserve">Selections from the </w:t>
      </w:r>
      <w:proofErr w:type="spellStart"/>
      <w:r w:rsidR="004600D5" w:rsidRPr="004464A2">
        <w:t>Upaniṣads</w:t>
      </w:r>
      <w:proofErr w:type="spellEnd"/>
      <w:r w:rsidR="003D7868">
        <w:t xml:space="preserve">; </w:t>
      </w:r>
      <w:r w:rsidR="004600D5" w:rsidRPr="004464A2">
        <w:t>“The First Sermon</w:t>
      </w:r>
      <w:r w:rsidR="00F702A1">
        <w:t>” of the Buddha</w:t>
      </w:r>
      <w:r w:rsidR="003D7868">
        <w:t xml:space="preserve">; </w:t>
      </w:r>
      <w:r w:rsidR="004600D5" w:rsidRPr="004464A2">
        <w:t xml:space="preserve">Selections from the </w:t>
      </w:r>
      <w:proofErr w:type="spellStart"/>
      <w:r w:rsidR="004600D5" w:rsidRPr="004464A2">
        <w:rPr>
          <w:i/>
        </w:rPr>
        <w:t>Bhagavadgītā</w:t>
      </w:r>
      <w:proofErr w:type="spellEnd"/>
    </w:p>
    <w:p w:rsidR="003D7868" w:rsidRPr="003D7868" w:rsidRDefault="003D7868" w:rsidP="003D7868">
      <w:pPr>
        <w:spacing w:after="0" w:line="240" w:lineRule="auto"/>
        <w:rPr>
          <w:b/>
          <w:sz w:val="16"/>
        </w:rPr>
      </w:pPr>
    </w:p>
    <w:p w:rsidR="003D7868" w:rsidRDefault="003D7868" w:rsidP="003D7868">
      <w:pPr>
        <w:spacing w:after="0" w:line="240" w:lineRule="auto"/>
      </w:pPr>
      <w:r w:rsidRPr="003D7868">
        <w:rPr>
          <w:b/>
        </w:rPr>
        <w:t>Week 3:</w:t>
      </w:r>
      <w:r>
        <w:t xml:space="preserve"> Epistemology</w:t>
      </w:r>
    </w:p>
    <w:p w:rsidR="004600D5" w:rsidRPr="004464A2" w:rsidRDefault="003D7868" w:rsidP="003D7868">
      <w:pPr>
        <w:spacing w:after="0" w:line="240" w:lineRule="auto"/>
        <w:ind w:left="720"/>
      </w:pPr>
      <w:r>
        <w:t xml:space="preserve">Readings: </w:t>
      </w:r>
      <w:proofErr w:type="spellStart"/>
      <w:r w:rsidR="00F702A1">
        <w:t>Mohanty</w:t>
      </w:r>
      <w:proofErr w:type="spellEnd"/>
      <w:r w:rsidR="00F702A1">
        <w:t xml:space="preserve">, “Theory of </w:t>
      </w:r>
      <w:proofErr w:type="spellStart"/>
      <w:r w:rsidR="00F702A1">
        <w:t>Pramāṇa</w:t>
      </w:r>
      <w:proofErr w:type="spellEnd"/>
      <w:r w:rsidR="00F702A1">
        <w:t>”</w:t>
      </w:r>
      <w:r>
        <w:t xml:space="preserve">; </w:t>
      </w:r>
      <w:proofErr w:type="spellStart"/>
      <w:r w:rsidR="00762928">
        <w:t>Gillon</w:t>
      </w:r>
      <w:proofErr w:type="spellEnd"/>
      <w:r w:rsidR="00762928">
        <w:t xml:space="preserve">, “Logic in Classical Indian </w:t>
      </w:r>
      <w:proofErr w:type="spellStart"/>
      <w:r w:rsidR="00762928">
        <w:t>Philophy</w:t>
      </w:r>
      <w:proofErr w:type="spellEnd"/>
      <w:r w:rsidR="00762928">
        <w:t>” (</w:t>
      </w:r>
      <w:hyperlink r:id="rId6" w:history="1">
        <w:r w:rsidR="00762928" w:rsidRPr="00CA79B2">
          <w:rPr>
            <w:rStyle w:val="Hyperlink"/>
          </w:rPr>
          <w:t>http://plato.stanford.edu/entries/logic-india/</w:t>
        </w:r>
      </w:hyperlink>
      <w:r>
        <w:t xml:space="preserve">); </w:t>
      </w:r>
      <w:r w:rsidR="004464A2" w:rsidRPr="004464A2">
        <w:t xml:space="preserve">Passages 35-51 from </w:t>
      </w:r>
      <w:proofErr w:type="spellStart"/>
      <w:r w:rsidR="004464A2" w:rsidRPr="004464A2">
        <w:t>Annambhaṭṭa’s</w:t>
      </w:r>
      <w:proofErr w:type="spellEnd"/>
      <w:r w:rsidR="004464A2" w:rsidRPr="004464A2">
        <w:t xml:space="preserve"> </w:t>
      </w:r>
      <w:proofErr w:type="spellStart"/>
      <w:r w:rsidR="004464A2" w:rsidRPr="004464A2">
        <w:rPr>
          <w:i/>
        </w:rPr>
        <w:t>Tarkasaṅgraha</w:t>
      </w:r>
      <w:proofErr w:type="spellEnd"/>
      <w:r>
        <w:rPr>
          <w:i/>
        </w:rPr>
        <w:t xml:space="preserve">; </w:t>
      </w:r>
      <w:proofErr w:type="spellStart"/>
      <w:r w:rsidR="004464A2" w:rsidRPr="004464A2">
        <w:t>Datta</w:t>
      </w:r>
      <w:proofErr w:type="spellEnd"/>
      <w:r w:rsidR="004464A2" w:rsidRPr="004464A2">
        <w:t>, “Postulation (</w:t>
      </w:r>
      <w:proofErr w:type="spellStart"/>
      <w:r w:rsidR="004464A2" w:rsidRPr="004464A2">
        <w:t>Arthāpatti</w:t>
      </w:r>
      <w:proofErr w:type="spellEnd"/>
      <w:r w:rsidR="004464A2" w:rsidRPr="004464A2">
        <w:t>)”</w:t>
      </w:r>
    </w:p>
    <w:p w:rsidR="003D7868" w:rsidRPr="003D7868" w:rsidRDefault="003D7868" w:rsidP="003D7868">
      <w:pPr>
        <w:spacing w:after="0" w:line="240" w:lineRule="auto"/>
        <w:rPr>
          <w:b/>
          <w:sz w:val="16"/>
        </w:rPr>
      </w:pPr>
    </w:p>
    <w:p w:rsidR="003D7868" w:rsidRDefault="003D7868" w:rsidP="003D7868">
      <w:pPr>
        <w:spacing w:after="0" w:line="240" w:lineRule="auto"/>
      </w:pPr>
      <w:r w:rsidRPr="003D7868">
        <w:rPr>
          <w:b/>
        </w:rPr>
        <w:t>Week 4:</w:t>
      </w:r>
      <w:r>
        <w:t xml:space="preserve"> Buddhism &amp; </w:t>
      </w:r>
      <w:proofErr w:type="spellStart"/>
      <w:r>
        <w:t>Jainism</w:t>
      </w:r>
      <w:proofErr w:type="spellEnd"/>
    </w:p>
    <w:p w:rsidR="00033F7A" w:rsidRPr="004464A2" w:rsidRDefault="003D7868" w:rsidP="003D7868">
      <w:pPr>
        <w:spacing w:after="0" w:line="240" w:lineRule="auto"/>
        <w:ind w:left="720"/>
      </w:pPr>
      <w:r>
        <w:t xml:space="preserve">Readings: </w:t>
      </w:r>
      <w:proofErr w:type="spellStart"/>
      <w:r w:rsidR="004464A2" w:rsidRPr="004464A2">
        <w:t>Radhakrishnan</w:t>
      </w:r>
      <w:proofErr w:type="spellEnd"/>
      <w:r w:rsidR="004464A2" w:rsidRPr="004464A2">
        <w:t xml:space="preserve"> and Moore</w:t>
      </w:r>
      <w:r w:rsidR="004464A2">
        <w:t xml:space="preserve"> pp. 250-292, 328-346</w:t>
      </w:r>
      <w:r>
        <w:t xml:space="preserve">; </w:t>
      </w:r>
      <w:r w:rsidR="00033F7A">
        <w:t>Hayes, “Buddhist Philosophy, Indian” (</w:t>
      </w:r>
      <w:hyperlink r:id="rId7" w:history="1">
        <w:r w:rsidR="00033F7A" w:rsidRPr="00CA79B2">
          <w:rPr>
            <w:rStyle w:val="Hyperlink"/>
          </w:rPr>
          <w:t>http://www.rep.routledge.com/article/F001</w:t>
        </w:r>
      </w:hyperlink>
      <w:r w:rsidR="00033F7A">
        <w:t>)</w:t>
      </w:r>
      <w:r>
        <w:t xml:space="preserve">; </w:t>
      </w:r>
      <w:r w:rsidR="00033F7A">
        <w:t>Webb, “Jain Philosophy” (</w:t>
      </w:r>
      <w:hyperlink r:id="rId8" w:history="1">
        <w:r w:rsidR="00033F7A" w:rsidRPr="00CA79B2">
          <w:rPr>
            <w:rStyle w:val="Hyperlink"/>
          </w:rPr>
          <w:t>http://www.iep.utm.edu/jain/</w:t>
        </w:r>
      </w:hyperlink>
      <w:r w:rsidR="00033F7A">
        <w:t xml:space="preserve">) </w:t>
      </w:r>
    </w:p>
    <w:p w:rsidR="003D7868" w:rsidRPr="003D7868" w:rsidRDefault="003D7868" w:rsidP="003D7868">
      <w:pPr>
        <w:spacing w:after="0" w:line="240" w:lineRule="auto"/>
        <w:rPr>
          <w:b/>
          <w:sz w:val="16"/>
        </w:rPr>
      </w:pPr>
    </w:p>
    <w:p w:rsidR="003D7868" w:rsidRDefault="00A4267C" w:rsidP="003D7868">
      <w:pPr>
        <w:spacing w:after="0" w:line="240" w:lineRule="auto"/>
      </w:pPr>
      <w:r w:rsidRPr="003D7868">
        <w:rPr>
          <w:b/>
        </w:rPr>
        <w:t>Week 5:</w:t>
      </w:r>
      <w:r w:rsidRPr="004464A2">
        <w:t xml:space="preserve"> </w:t>
      </w:r>
      <w:proofErr w:type="spellStart"/>
      <w:r w:rsidRPr="004464A2">
        <w:t>Mīmāṁsā</w:t>
      </w:r>
      <w:proofErr w:type="spellEnd"/>
      <w:r w:rsidRPr="004464A2">
        <w:t xml:space="preserve"> (</w:t>
      </w:r>
      <w:proofErr w:type="spellStart"/>
      <w:r w:rsidRPr="004464A2">
        <w:t>Th</w:t>
      </w:r>
      <w:proofErr w:type="spellEnd"/>
      <w:r w:rsidRPr="004464A2">
        <w:t xml:space="preserve"> only)</w:t>
      </w:r>
    </w:p>
    <w:p w:rsidR="003D7868" w:rsidRDefault="003D7868" w:rsidP="003D7868">
      <w:pPr>
        <w:spacing w:after="0" w:line="240" w:lineRule="auto"/>
        <w:ind w:left="720"/>
      </w:pPr>
      <w:r>
        <w:t xml:space="preserve">Readings: </w:t>
      </w:r>
      <w:proofErr w:type="spellStart"/>
      <w:r w:rsidR="009022D1">
        <w:t>Radhakrishnan</w:t>
      </w:r>
      <w:proofErr w:type="spellEnd"/>
      <w:r w:rsidR="009022D1">
        <w:t xml:space="preserve"> and Moore, pp. 486-505</w:t>
      </w:r>
      <w:r>
        <w:t xml:space="preserve">; </w:t>
      </w:r>
      <w:r w:rsidR="009022D1">
        <w:t>Edgerton, “Etymology and Interpretation”</w:t>
      </w:r>
      <w:r>
        <w:t xml:space="preserve">; </w:t>
      </w:r>
      <w:proofErr w:type="spellStart"/>
      <w:r>
        <w:t>D’Sa</w:t>
      </w:r>
      <w:proofErr w:type="spellEnd"/>
      <w:r>
        <w:t xml:space="preserve"> </w:t>
      </w:r>
      <w:r w:rsidR="009022D1">
        <w:t>“</w:t>
      </w:r>
      <w:proofErr w:type="spellStart"/>
      <w:r w:rsidR="009022D1">
        <w:t>Vedā</w:t>
      </w:r>
      <w:r w:rsidR="00F702A1">
        <w:t>pauruṣeyatvam</w:t>
      </w:r>
      <w:proofErr w:type="spellEnd"/>
      <w:r w:rsidR="00F702A1">
        <w:t xml:space="preserve"> and </w:t>
      </w:r>
      <w:proofErr w:type="spellStart"/>
      <w:r w:rsidR="00F702A1">
        <w:t>Vedaprāmāṇyam</w:t>
      </w:r>
      <w:proofErr w:type="spellEnd"/>
      <w:r w:rsidR="00F702A1">
        <w:t>”</w:t>
      </w:r>
    </w:p>
    <w:p w:rsidR="003D7868" w:rsidRPr="003D7868" w:rsidRDefault="003D7868" w:rsidP="009D1D75">
      <w:pPr>
        <w:spacing w:after="0" w:line="240" w:lineRule="auto"/>
        <w:rPr>
          <w:b/>
          <w:sz w:val="16"/>
        </w:rPr>
      </w:pPr>
    </w:p>
    <w:p w:rsidR="003D7868" w:rsidRPr="003D7868" w:rsidRDefault="00A4267C" w:rsidP="003D7868">
      <w:pPr>
        <w:spacing w:after="0" w:line="240" w:lineRule="auto"/>
      </w:pPr>
      <w:r w:rsidRPr="003D7868">
        <w:rPr>
          <w:b/>
        </w:rPr>
        <w:t>Week 6:</w:t>
      </w:r>
      <w:r w:rsidRPr="004464A2">
        <w:t xml:space="preserve"> </w:t>
      </w:r>
      <w:proofErr w:type="spellStart"/>
      <w:r w:rsidRPr="004464A2">
        <w:t>Nyāya</w:t>
      </w:r>
      <w:proofErr w:type="spellEnd"/>
      <w:r w:rsidRPr="004464A2">
        <w:t xml:space="preserve"> and </w:t>
      </w:r>
      <w:proofErr w:type="spellStart"/>
      <w:r w:rsidRPr="004464A2">
        <w:t>Vaiśeṣika</w:t>
      </w:r>
      <w:proofErr w:type="spellEnd"/>
      <w:r w:rsidR="003D7868">
        <w:t xml:space="preserve"> </w:t>
      </w:r>
      <w:r w:rsidR="003F63F8" w:rsidRPr="003F63F8">
        <w:rPr>
          <w:b/>
        </w:rPr>
        <w:t>Tuesday: First Quiz</w:t>
      </w:r>
    </w:p>
    <w:p w:rsidR="008B5101" w:rsidRPr="003D7868" w:rsidRDefault="003D7868" w:rsidP="003D7868">
      <w:pPr>
        <w:spacing w:after="0" w:line="240" w:lineRule="auto"/>
        <w:ind w:left="720"/>
        <w:rPr>
          <w:b/>
        </w:rPr>
      </w:pPr>
      <w:r>
        <w:t xml:space="preserve">Readings: </w:t>
      </w:r>
      <w:proofErr w:type="spellStart"/>
      <w:r w:rsidR="008B5101">
        <w:t>Dasti</w:t>
      </w:r>
      <w:proofErr w:type="spellEnd"/>
      <w:r w:rsidR="008B5101">
        <w:t>, “</w:t>
      </w:r>
      <w:proofErr w:type="spellStart"/>
      <w:r w:rsidR="008B5101">
        <w:t>Nyāya</w:t>
      </w:r>
      <w:proofErr w:type="spellEnd"/>
      <w:r w:rsidR="008B5101">
        <w:t>” (</w:t>
      </w:r>
      <w:hyperlink r:id="rId9" w:history="1">
        <w:r w:rsidR="008B5101" w:rsidRPr="00CA79B2">
          <w:rPr>
            <w:rStyle w:val="Hyperlink"/>
          </w:rPr>
          <w:t>http://www.iep.utm.edu/nyaya/</w:t>
        </w:r>
      </w:hyperlink>
      <w:r>
        <w:t xml:space="preserve">); </w:t>
      </w:r>
      <w:proofErr w:type="spellStart"/>
      <w:r w:rsidR="008B5101">
        <w:t>Radhakrishnan</w:t>
      </w:r>
      <w:proofErr w:type="spellEnd"/>
      <w:r w:rsidR="008B5101">
        <w:t xml:space="preserve"> and Moore, pp. 356-379, 386-397</w:t>
      </w:r>
      <w:r>
        <w:t xml:space="preserve">; </w:t>
      </w:r>
      <w:proofErr w:type="spellStart"/>
      <w:r w:rsidR="008B5101">
        <w:t>Annambhaṭṭa</w:t>
      </w:r>
      <w:proofErr w:type="spellEnd"/>
      <w:r w:rsidR="008B5101">
        <w:t xml:space="preserve"> </w:t>
      </w:r>
      <w:proofErr w:type="spellStart"/>
      <w:r w:rsidR="008B5101">
        <w:rPr>
          <w:i/>
        </w:rPr>
        <w:t>Tarkasaṅgraha</w:t>
      </w:r>
      <w:proofErr w:type="spellEnd"/>
      <w:r w:rsidR="008B5101">
        <w:rPr>
          <w:i/>
        </w:rPr>
        <w:t xml:space="preserve"> </w:t>
      </w:r>
      <w:r w:rsidR="008B5101">
        <w:t>1-19</w:t>
      </w:r>
    </w:p>
    <w:p w:rsidR="003D7868" w:rsidRPr="003D7868" w:rsidRDefault="003D7868" w:rsidP="003D7868">
      <w:pPr>
        <w:spacing w:after="0" w:line="240" w:lineRule="auto"/>
        <w:rPr>
          <w:b/>
          <w:sz w:val="16"/>
        </w:rPr>
      </w:pPr>
    </w:p>
    <w:p w:rsidR="003D7868" w:rsidRDefault="00A4267C" w:rsidP="003D7868">
      <w:pPr>
        <w:spacing w:after="0" w:line="240" w:lineRule="auto"/>
      </w:pPr>
      <w:r w:rsidRPr="003D7868">
        <w:rPr>
          <w:b/>
        </w:rPr>
        <w:t>Week 7:</w:t>
      </w:r>
      <w:r w:rsidRPr="004464A2">
        <w:t xml:space="preserve"> </w:t>
      </w:r>
      <w:proofErr w:type="spellStart"/>
      <w:r w:rsidRPr="004464A2">
        <w:t>Sāṅkhya</w:t>
      </w:r>
      <w:proofErr w:type="spellEnd"/>
      <w:r w:rsidRPr="004464A2">
        <w:t xml:space="preserve"> and </w:t>
      </w:r>
      <w:proofErr w:type="spellStart"/>
      <w:r w:rsidRPr="004464A2">
        <w:t>Yoga</w:t>
      </w:r>
      <w:proofErr w:type="spellEnd"/>
    </w:p>
    <w:p w:rsidR="003F63F8" w:rsidRDefault="003D7868" w:rsidP="003D7868">
      <w:pPr>
        <w:spacing w:after="0" w:line="240" w:lineRule="auto"/>
        <w:ind w:left="720"/>
      </w:pPr>
      <w:r>
        <w:t xml:space="preserve">Readings: </w:t>
      </w:r>
      <w:proofErr w:type="spellStart"/>
      <w:r w:rsidR="008B5101">
        <w:t>Radhakrishnan</w:t>
      </w:r>
      <w:proofErr w:type="spellEnd"/>
      <w:r w:rsidR="008B5101">
        <w:t xml:space="preserve"> and Moore, 424-452</w:t>
      </w:r>
      <w:r>
        <w:t xml:space="preserve">; </w:t>
      </w:r>
      <w:r w:rsidR="008B5101">
        <w:t xml:space="preserve">Bryant translation of </w:t>
      </w:r>
      <w:proofErr w:type="spellStart"/>
      <w:r w:rsidR="008B5101">
        <w:rPr>
          <w:i/>
        </w:rPr>
        <w:t>Yogasūtras</w:t>
      </w:r>
      <w:proofErr w:type="spellEnd"/>
      <w:r>
        <w:rPr>
          <w:i/>
        </w:rPr>
        <w:t xml:space="preserve">; </w:t>
      </w:r>
      <w:r w:rsidR="00980E29">
        <w:t>Additional reading TBD</w:t>
      </w:r>
    </w:p>
    <w:p w:rsidR="003D7868" w:rsidRPr="003D7868" w:rsidRDefault="003D7868" w:rsidP="003D7868">
      <w:pPr>
        <w:spacing w:after="0" w:line="240" w:lineRule="auto"/>
        <w:rPr>
          <w:sz w:val="16"/>
        </w:rPr>
      </w:pPr>
    </w:p>
    <w:p w:rsidR="003D7868" w:rsidRDefault="00A4267C" w:rsidP="003D7868">
      <w:pPr>
        <w:spacing w:after="0" w:line="240" w:lineRule="auto"/>
      </w:pPr>
      <w:r w:rsidRPr="003D7868">
        <w:rPr>
          <w:b/>
        </w:rPr>
        <w:t>Week 8:</w:t>
      </w:r>
      <w:r w:rsidRPr="004464A2">
        <w:t xml:space="preserve"> </w:t>
      </w:r>
      <w:proofErr w:type="spellStart"/>
      <w:r w:rsidRPr="004464A2">
        <w:t>Vedānta</w:t>
      </w:r>
      <w:proofErr w:type="spellEnd"/>
    </w:p>
    <w:p w:rsidR="003D7868" w:rsidRDefault="003D7868" w:rsidP="003D7868">
      <w:pPr>
        <w:spacing w:after="0" w:line="240" w:lineRule="auto"/>
        <w:ind w:left="720"/>
      </w:pPr>
      <w:r>
        <w:t xml:space="preserve">Readings: </w:t>
      </w:r>
      <w:proofErr w:type="spellStart"/>
      <w:r w:rsidR="00980E29">
        <w:t>Radhakrishnan</w:t>
      </w:r>
      <w:proofErr w:type="spellEnd"/>
      <w:r w:rsidR="00980E29">
        <w:t xml:space="preserve"> and Moore, 506-572</w:t>
      </w:r>
      <w:r>
        <w:t xml:space="preserve">; </w:t>
      </w:r>
      <w:r w:rsidR="00980E29">
        <w:t>Ingalls, “</w:t>
      </w:r>
      <w:proofErr w:type="spellStart"/>
      <w:r w:rsidR="00980E29">
        <w:t>Śaṅkara</w:t>
      </w:r>
      <w:proofErr w:type="spellEnd"/>
      <w:r w:rsidR="00980E29">
        <w:t xml:space="preserve"> on the Question ‘Whose Is </w:t>
      </w:r>
      <w:proofErr w:type="spellStart"/>
      <w:r w:rsidR="00980E29">
        <w:t>Avidyā</w:t>
      </w:r>
      <w:proofErr w:type="spellEnd"/>
      <w:r w:rsidR="00980E29">
        <w:t>’?</w:t>
      </w:r>
      <w:proofErr w:type="gramStart"/>
      <w:r w:rsidR="00980E29">
        <w:t>”</w:t>
      </w:r>
      <w:r w:rsidR="00942B3A">
        <w:t>;</w:t>
      </w:r>
      <w:proofErr w:type="gramEnd"/>
      <w:r>
        <w:t xml:space="preserve"> </w:t>
      </w:r>
      <w:r w:rsidR="00980E29">
        <w:t>Additional reading TBD</w:t>
      </w:r>
    </w:p>
    <w:p w:rsidR="003D7868" w:rsidRPr="003D7868" w:rsidRDefault="003D7868" w:rsidP="003D7868">
      <w:pPr>
        <w:spacing w:after="0" w:line="240" w:lineRule="auto"/>
        <w:rPr>
          <w:sz w:val="16"/>
        </w:rPr>
      </w:pPr>
    </w:p>
    <w:p w:rsidR="003D7868" w:rsidRDefault="00A4267C" w:rsidP="003D7868">
      <w:pPr>
        <w:spacing w:after="0" w:line="240" w:lineRule="auto"/>
      </w:pPr>
      <w:r w:rsidRPr="003D7868">
        <w:rPr>
          <w:b/>
        </w:rPr>
        <w:t>Week 9:</w:t>
      </w:r>
      <w:r w:rsidRPr="004464A2">
        <w:t xml:space="preserve"> </w:t>
      </w:r>
      <w:proofErr w:type="spellStart"/>
      <w:r w:rsidRPr="004464A2">
        <w:t>Bhagavadgītā</w:t>
      </w:r>
      <w:proofErr w:type="spellEnd"/>
    </w:p>
    <w:p w:rsidR="00980E29" w:rsidRPr="004464A2" w:rsidRDefault="003D7868" w:rsidP="003D7868">
      <w:pPr>
        <w:spacing w:after="0" w:line="240" w:lineRule="auto"/>
      </w:pPr>
      <w:r>
        <w:tab/>
      </w:r>
      <w:r w:rsidR="00980E29">
        <w:t xml:space="preserve">Entire </w:t>
      </w:r>
      <w:proofErr w:type="spellStart"/>
      <w:r w:rsidR="00980E29">
        <w:rPr>
          <w:i/>
        </w:rPr>
        <w:t>Bhagavadgītā</w:t>
      </w:r>
      <w:proofErr w:type="spellEnd"/>
    </w:p>
    <w:p w:rsidR="003D7868" w:rsidRPr="003D7868" w:rsidRDefault="003D7868" w:rsidP="009D1D75">
      <w:pPr>
        <w:spacing w:after="0" w:line="240" w:lineRule="auto"/>
        <w:rPr>
          <w:sz w:val="16"/>
        </w:rPr>
      </w:pPr>
    </w:p>
    <w:p w:rsidR="003D7868" w:rsidRPr="003D7868" w:rsidRDefault="00A4267C" w:rsidP="003D7868">
      <w:pPr>
        <w:spacing w:after="0" w:line="240" w:lineRule="auto"/>
      </w:pPr>
      <w:r w:rsidRPr="003D7868">
        <w:rPr>
          <w:b/>
        </w:rPr>
        <w:t>Week 10:</w:t>
      </w:r>
      <w:r w:rsidRPr="004464A2">
        <w:t xml:space="preserve"> Language</w:t>
      </w:r>
      <w:r w:rsidR="003D7868">
        <w:t xml:space="preserve"> </w:t>
      </w:r>
      <w:r w:rsidR="003F63F8">
        <w:rPr>
          <w:b/>
        </w:rPr>
        <w:t>Tuesday: Second Quiz</w:t>
      </w:r>
    </w:p>
    <w:p w:rsidR="00283613" w:rsidRPr="003D7868" w:rsidRDefault="003D7868" w:rsidP="003D7868">
      <w:pPr>
        <w:spacing w:after="0" w:line="240" w:lineRule="auto"/>
        <w:ind w:left="720"/>
        <w:rPr>
          <w:b/>
        </w:rPr>
      </w:pPr>
      <w:r>
        <w:t xml:space="preserve">Readings: </w:t>
      </w:r>
      <w:r w:rsidR="00980E29">
        <w:t>Cardona, “Philosophy of Language in India</w:t>
      </w:r>
      <w:r>
        <w:t xml:space="preserve">; </w:t>
      </w:r>
      <w:proofErr w:type="spellStart"/>
      <w:r w:rsidR="00283613">
        <w:t>Brough</w:t>
      </w:r>
      <w:proofErr w:type="spellEnd"/>
      <w:r w:rsidR="00283613">
        <w:t>, “Some Indian Theories of Meaning”</w:t>
      </w:r>
      <w:r>
        <w:t xml:space="preserve">; </w:t>
      </w:r>
      <w:r w:rsidR="00283613">
        <w:t xml:space="preserve">Selections from </w:t>
      </w:r>
      <w:proofErr w:type="spellStart"/>
      <w:r w:rsidR="00283613">
        <w:t>Ānandardhana’s</w:t>
      </w:r>
      <w:proofErr w:type="spellEnd"/>
      <w:r w:rsidR="00283613">
        <w:t xml:space="preserve"> </w:t>
      </w:r>
      <w:proofErr w:type="spellStart"/>
      <w:r w:rsidR="00283613">
        <w:rPr>
          <w:i/>
        </w:rPr>
        <w:t>Dhvanyāloka</w:t>
      </w:r>
      <w:proofErr w:type="spellEnd"/>
      <w:r w:rsidR="00283613">
        <w:rPr>
          <w:i/>
        </w:rPr>
        <w:t xml:space="preserve"> </w:t>
      </w:r>
      <w:r w:rsidR="00283613">
        <w:t xml:space="preserve">or </w:t>
      </w:r>
      <w:proofErr w:type="spellStart"/>
      <w:r w:rsidR="00283613">
        <w:t>Mammaṭa’s</w:t>
      </w:r>
      <w:proofErr w:type="spellEnd"/>
      <w:r w:rsidR="00283613">
        <w:t xml:space="preserve"> </w:t>
      </w:r>
      <w:proofErr w:type="spellStart"/>
      <w:r w:rsidR="00283613">
        <w:rPr>
          <w:i/>
        </w:rPr>
        <w:t>Kāvyaprakāśa</w:t>
      </w:r>
      <w:proofErr w:type="spellEnd"/>
    </w:p>
    <w:p w:rsidR="003D7868" w:rsidRPr="003D7868" w:rsidRDefault="003D7868" w:rsidP="009D1D75">
      <w:pPr>
        <w:spacing w:after="0" w:line="240" w:lineRule="auto"/>
        <w:rPr>
          <w:sz w:val="16"/>
        </w:rPr>
      </w:pPr>
    </w:p>
    <w:p w:rsidR="003D7868" w:rsidRPr="003D7868" w:rsidRDefault="00A4267C" w:rsidP="003D7868">
      <w:pPr>
        <w:spacing w:after="0" w:line="240" w:lineRule="auto"/>
      </w:pPr>
      <w:r w:rsidRPr="003D7868">
        <w:rPr>
          <w:b/>
        </w:rPr>
        <w:t>Week 11:</w:t>
      </w:r>
      <w:r w:rsidRPr="004464A2">
        <w:t xml:space="preserve"> The Self</w:t>
      </w:r>
      <w:r w:rsidR="00917D5C">
        <w:t>, Agency, and Free Will</w:t>
      </w:r>
      <w:r w:rsidR="003D7868">
        <w:t xml:space="preserve"> </w:t>
      </w:r>
      <w:r w:rsidR="003F63F8">
        <w:rPr>
          <w:b/>
        </w:rPr>
        <w:t>Paper Topics Due</w:t>
      </w:r>
      <w:r w:rsidR="003D7868">
        <w:rPr>
          <w:b/>
        </w:rPr>
        <w:t xml:space="preserve"> Tuesday</w:t>
      </w:r>
    </w:p>
    <w:p w:rsidR="00917D5C" w:rsidRPr="003D7868" w:rsidRDefault="003D7868" w:rsidP="003D7868">
      <w:pPr>
        <w:spacing w:after="0" w:line="240" w:lineRule="auto"/>
        <w:ind w:left="720"/>
        <w:rPr>
          <w:b/>
        </w:rPr>
      </w:pPr>
      <w:r>
        <w:t xml:space="preserve">Readings: </w:t>
      </w:r>
      <w:proofErr w:type="spellStart"/>
      <w:r w:rsidR="00917D5C">
        <w:t>Dasti</w:t>
      </w:r>
      <w:proofErr w:type="spellEnd"/>
      <w:r w:rsidR="00917D5C">
        <w:t xml:space="preserve"> and Bryant, Intro and </w:t>
      </w:r>
      <w:proofErr w:type="spellStart"/>
      <w:r w:rsidR="00917D5C">
        <w:t>Chs</w:t>
      </w:r>
      <w:proofErr w:type="spellEnd"/>
      <w:r w:rsidR="00917D5C">
        <w:t>. 2, 5, 7, and any 2 other chapters.</w:t>
      </w:r>
    </w:p>
    <w:p w:rsidR="003D7868" w:rsidRPr="003D7868" w:rsidRDefault="003D7868" w:rsidP="003D7868">
      <w:pPr>
        <w:spacing w:after="0" w:line="240" w:lineRule="auto"/>
        <w:rPr>
          <w:sz w:val="16"/>
        </w:rPr>
      </w:pPr>
    </w:p>
    <w:p w:rsidR="003D7868" w:rsidRDefault="00917D5C" w:rsidP="003D7868">
      <w:pPr>
        <w:spacing w:after="0" w:line="240" w:lineRule="auto"/>
      </w:pPr>
      <w:r w:rsidRPr="003D7868">
        <w:rPr>
          <w:b/>
        </w:rPr>
        <w:t>Week 12:</w:t>
      </w:r>
      <w:r>
        <w:t xml:space="preserve"> Ethics, Karma, and Dharma</w:t>
      </w:r>
    </w:p>
    <w:p w:rsidR="00917D5C" w:rsidRPr="004464A2" w:rsidRDefault="00917D5C" w:rsidP="003D7868">
      <w:pPr>
        <w:spacing w:after="0" w:line="240" w:lineRule="auto"/>
        <w:ind w:left="720"/>
      </w:pPr>
      <w:r>
        <w:t>Readings TBD</w:t>
      </w:r>
    </w:p>
    <w:p w:rsidR="003D7868" w:rsidRPr="003D7868" w:rsidRDefault="003D7868" w:rsidP="003D7868">
      <w:pPr>
        <w:spacing w:after="0" w:line="240" w:lineRule="auto"/>
        <w:rPr>
          <w:sz w:val="16"/>
        </w:rPr>
      </w:pPr>
    </w:p>
    <w:p w:rsidR="003D7868" w:rsidRDefault="00A4267C" w:rsidP="003D7868">
      <w:pPr>
        <w:spacing w:after="0" w:line="240" w:lineRule="auto"/>
      </w:pPr>
      <w:r w:rsidRPr="003D7868">
        <w:rPr>
          <w:b/>
        </w:rPr>
        <w:t>Week 13:</w:t>
      </w:r>
      <w:r w:rsidRPr="004464A2">
        <w:t xml:space="preserve"> Liberation</w:t>
      </w:r>
    </w:p>
    <w:p w:rsidR="00917D5C" w:rsidRPr="004464A2" w:rsidRDefault="003D7868" w:rsidP="003D7868">
      <w:pPr>
        <w:spacing w:after="0" w:line="240" w:lineRule="auto"/>
        <w:ind w:left="720"/>
      </w:pPr>
      <w:r>
        <w:t xml:space="preserve">Readings: </w:t>
      </w:r>
      <w:r w:rsidR="00746998">
        <w:t xml:space="preserve">Yadav, “Negation, </w:t>
      </w:r>
      <w:proofErr w:type="spellStart"/>
      <w:r w:rsidR="00746998">
        <w:rPr>
          <w:i/>
        </w:rPr>
        <w:t>Nirvāṇa</w:t>
      </w:r>
      <w:proofErr w:type="spellEnd"/>
      <w:r w:rsidR="00746998">
        <w:rPr>
          <w:i/>
        </w:rPr>
        <w:t xml:space="preserve">, </w:t>
      </w:r>
      <w:r w:rsidR="00746998">
        <w:t>and Nonsense”</w:t>
      </w:r>
      <w:r>
        <w:t xml:space="preserve">; </w:t>
      </w:r>
      <w:r w:rsidR="00917D5C">
        <w:t xml:space="preserve">Fort and </w:t>
      </w:r>
      <w:proofErr w:type="spellStart"/>
      <w:r w:rsidR="00917D5C">
        <w:t>Mumme</w:t>
      </w:r>
      <w:proofErr w:type="spellEnd"/>
      <w:r w:rsidR="00917D5C">
        <w:t xml:space="preserve">: </w:t>
      </w:r>
      <w:r w:rsidR="00746998">
        <w:t xml:space="preserve">Introduction, Ch. 4, one of </w:t>
      </w:r>
      <w:proofErr w:type="spellStart"/>
      <w:r w:rsidR="00746998">
        <w:t>Chs</w:t>
      </w:r>
      <w:proofErr w:type="spellEnd"/>
      <w:r w:rsidR="00746998">
        <w:t xml:space="preserve">. 1-3, one of </w:t>
      </w:r>
      <w:proofErr w:type="spellStart"/>
      <w:r w:rsidR="00746998">
        <w:t>Chs</w:t>
      </w:r>
      <w:proofErr w:type="spellEnd"/>
      <w:r w:rsidR="00746998">
        <w:t xml:space="preserve">. 5-8, Conclusion </w:t>
      </w:r>
    </w:p>
    <w:p w:rsidR="00A4267C" w:rsidRPr="004464A2" w:rsidRDefault="00A4267C" w:rsidP="00A4267C">
      <w:pPr>
        <w:spacing w:after="0" w:line="240" w:lineRule="auto"/>
        <w:jc w:val="both"/>
        <w:rPr>
          <w:b/>
          <w:iCs/>
        </w:rPr>
      </w:pPr>
    </w:p>
    <w:p w:rsidR="00A4267C" w:rsidRPr="004464A2" w:rsidRDefault="00A4267C" w:rsidP="00A4267C">
      <w:pPr>
        <w:spacing w:after="0" w:line="240" w:lineRule="auto"/>
        <w:jc w:val="both"/>
        <w:rPr>
          <w:b/>
        </w:rPr>
      </w:pPr>
      <w:r w:rsidRPr="004464A2">
        <w:rPr>
          <w:b/>
        </w:rPr>
        <w:t>Academic Integrity:</w:t>
      </w:r>
    </w:p>
    <w:p w:rsidR="00A4267C" w:rsidRPr="004464A2" w:rsidRDefault="00A4267C" w:rsidP="00A4267C">
      <w:pPr>
        <w:spacing w:after="0" w:line="240" w:lineRule="auto"/>
        <w:jc w:val="both"/>
      </w:pPr>
      <w:r w:rsidRPr="004464A2">
        <w:tab/>
        <w:t>Please be aware of and abide by the Principles of the Brown University Community:</w:t>
      </w:r>
    </w:p>
    <w:p w:rsidR="00A4267C" w:rsidRPr="004464A2" w:rsidRDefault="00A4267C" w:rsidP="00A4267C">
      <w:pPr>
        <w:spacing w:after="0" w:line="240" w:lineRule="auto"/>
        <w:jc w:val="both"/>
      </w:pPr>
      <w:hyperlink r:id="rId10" w:history="1">
        <w:r w:rsidRPr="004464A2">
          <w:rPr>
            <w:rStyle w:val="Hyperlink"/>
          </w:rPr>
          <w:t>http://www.brown.edu/Administration/Dean_of_the_College/curriculum/documents/principles.pdf</w:t>
        </w:r>
      </w:hyperlink>
    </w:p>
    <w:p w:rsidR="00A4267C" w:rsidRPr="004464A2" w:rsidRDefault="00A4267C" w:rsidP="00A4267C">
      <w:pPr>
        <w:spacing w:after="0" w:line="240" w:lineRule="auto"/>
        <w:jc w:val="both"/>
      </w:pPr>
    </w:p>
    <w:p w:rsidR="00A4267C" w:rsidRPr="004464A2" w:rsidRDefault="00A4267C" w:rsidP="00A4267C">
      <w:pPr>
        <w:spacing w:after="0" w:line="240" w:lineRule="auto"/>
        <w:jc w:val="both"/>
        <w:rPr>
          <w:b/>
        </w:rPr>
      </w:pPr>
      <w:r w:rsidRPr="004464A2">
        <w:rPr>
          <w:b/>
        </w:rPr>
        <w:t>Disability Assistance and Other Concerns:</w:t>
      </w:r>
    </w:p>
    <w:p w:rsidR="00A4267C" w:rsidRPr="004464A2" w:rsidRDefault="00A4267C" w:rsidP="003D7868">
      <w:pPr>
        <w:spacing w:after="0" w:line="240" w:lineRule="auto"/>
        <w:ind w:firstLine="720"/>
        <w:jc w:val="both"/>
      </w:pPr>
      <w:r w:rsidRPr="004464A2">
        <w:t xml:space="preserve">Brown University is deeply committed to making the study of Sanskrit available to anyone who is interested. Students who, by nature of a documented disability, require academic accommodations for this class should feel free to discuss this with me directly or may speak with Student and Employee Accessibility Services (SEAS) at  401-863-9588  to discuss the process for requesting accommodations. </w:t>
      </w:r>
    </w:p>
    <w:sectPr w:rsidR="00A4267C" w:rsidRPr="0044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40A"/>
    <w:multiLevelType w:val="hybridMultilevel"/>
    <w:tmpl w:val="CFFA2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B33E6"/>
    <w:multiLevelType w:val="hybridMultilevel"/>
    <w:tmpl w:val="826AC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F70DD"/>
    <w:multiLevelType w:val="hybridMultilevel"/>
    <w:tmpl w:val="0A7C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418CC"/>
    <w:multiLevelType w:val="hybridMultilevel"/>
    <w:tmpl w:val="1CEE3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474397"/>
    <w:multiLevelType w:val="hybridMultilevel"/>
    <w:tmpl w:val="861E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244709"/>
    <w:multiLevelType w:val="hybridMultilevel"/>
    <w:tmpl w:val="E61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5210C6"/>
    <w:multiLevelType w:val="hybridMultilevel"/>
    <w:tmpl w:val="772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75ECF"/>
    <w:multiLevelType w:val="hybridMultilevel"/>
    <w:tmpl w:val="D99C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D85819"/>
    <w:multiLevelType w:val="hybridMultilevel"/>
    <w:tmpl w:val="B48AB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F605AB"/>
    <w:multiLevelType w:val="hybridMultilevel"/>
    <w:tmpl w:val="3FD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764FB"/>
    <w:multiLevelType w:val="hybridMultilevel"/>
    <w:tmpl w:val="96D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7C"/>
    <w:rsid w:val="00033F7A"/>
    <w:rsid w:val="000D132F"/>
    <w:rsid w:val="00283613"/>
    <w:rsid w:val="003D7868"/>
    <w:rsid w:val="003F63F8"/>
    <w:rsid w:val="004464A2"/>
    <w:rsid w:val="00453F1F"/>
    <w:rsid w:val="004600D5"/>
    <w:rsid w:val="004A74E9"/>
    <w:rsid w:val="005104E5"/>
    <w:rsid w:val="005838EB"/>
    <w:rsid w:val="00635E27"/>
    <w:rsid w:val="006755B0"/>
    <w:rsid w:val="00746998"/>
    <w:rsid w:val="00762928"/>
    <w:rsid w:val="008B5101"/>
    <w:rsid w:val="009022D1"/>
    <w:rsid w:val="00917D5C"/>
    <w:rsid w:val="00942B3A"/>
    <w:rsid w:val="00980E29"/>
    <w:rsid w:val="009D1D75"/>
    <w:rsid w:val="00A014D3"/>
    <w:rsid w:val="00A4267C"/>
    <w:rsid w:val="00BA5337"/>
    <w:rsid w:val="00BB1F27"/>
    <w:rsid w:val="00C85D23"/>
    <w:rsid w:val="00CE5FE1"/>
    <w:rsid w:val="00EB425C"/>
    <w:rsid w:val="00F7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7C"/>
    <w:rPr>
      <w:color w:val="0000FF" w:themeColor="hyperlink"/>
      <w:u w:val="single"/>
    </w:rPr>
  </w:style>
  <w:style w:type="paragraph" w:styleId="ListParagraph">
    <w:name w:val="List Paragraph"/>
    <w:basedOn w:val="Normal"/>
    <w:uiPriority w:val="34"/>
    <w:qFormat/>
    <w:rsid w:val="0046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7C"/>
    <w:rPr>
      <w:color w:val="0000FF" w:themeColor="hyperlink"/>
      <w:u w:val="single"/>
    </w:rPr>
  </w:style>
  <w:style w:type="paragraph" w:styleId="ListParagraph">
    <w:name w:val="List Paragraph"/>
    <w:basedOn w:val="Normal"/>
    <w:uiPriority w:val="34"/>
    <w:qFormat/>
    <w:rsid w:val="0046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jain/" TargetMode="External"/><Relationship Id="rId3" Type="http://schemas.microsoft.com/office/2007/relationships/stylesWithEffects" Target="stylesWithEffects.xml"/><Relationship Id="rId7" Type="http://schemas.openxmlformats.org/officeDocument/2006/relationships/hyperlink" Target="http://www.rep.routledge.com/article/F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entries/logic-in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wn.edu/Administration/Dean_of_the_College/curriculum/documents/principles.pdf" TargetMode="External"/><Relationship Id="rId4" Type="http://schemas.openxmlformats.org/officeDocument/2006/relationships/settings" Target="settings.xml"/><Relationship Id="rId9" Type="http://schemas.openxmlformats.org/officeDocument/2006/relationships/hyperlink" Target="http://www.iep.utm.edu/ny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Buchta, David</dc:creator>
  <cp:lastModifiedBy>Buchta, David</cp:lastModifiedBy>
  <cp:revision>1</cp:revision>
  <dcterms:created xsi:type="dcterms:W3CDTF">2014-01-22T20:21:00Z</dcterms:created>
  <dcterms:modified xsi:type="dcterms:W3CDTF">2014-01-23T03:17:00Z</dcterms:modified>
</cp:coreProperties>
</file>