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B9" w:rsidRPr="002B1ED6" w:rsidRDefault="00F22AB9" w:rsidP="00F22AB9">
      <w:pPr>
        <w:jc w:val="left"/>
        <w:outlineLvl w:val="0"/>
        <w:rPr>
          <w:rFonts w:ascii="Palatino Linotype" w:hAnsi="Palatino Linotype" w:cstheme="majorBidi"/>
        </w:rPr>
      </w:pPr>
      <w:r w:rsidRPr="002B1ED6">
        <w:rPr>
          <w:rFonts w:ascii="Palatino Linotype" w:hAnsi="Palatino Linotype" w:cstheme="majorBidi"/>
        </w:rPr>
        <w:t xml:space="preserve">JUDS </w:t>
      </w:r>
      <w:r>
        <w:rPr>
          <w:rFonts w:ascii="Palatino Linotype" w:hAnsi="Palatino Linotype" w:cstheme="majorBidi"/>
        </w:rPr>
        <w:t>1711-S01</w:t>
      </w:r>
    </w:p>
    <w:p w:rsidR="00F22AB9" w:rsidRPr="00F22AB9" w:rsidRDefault="00F22AB9" w:rsidP="00F22AB9">
      <w:pPr>
        <w:jc w:val="left"/>
        <w:outlineLvl w:val="0"/>
        <w:rPr>
          <w:rFonts w:ascii="Palatino Linotype" w:hAnsi="Palatino Linotype" w:cstheme="majorBidi"/>
          <w:sz w:val="24"/>
          <w:szCs w:val="24"/>
        </w:rPr>
      </w:pPr>
      <w:r w:rsidRPr="00F22AB9">
        <w:rPr>
          <w:rFonts w:ascii="Palatino Linotype" w:hAnsi="Palatino Linotype" w:cstheme="majorBidi"/>
          <w:sz w:val="24"/>
          <w:szCs w:val="24"/>
        </w:rPr>
        <w:t>Spring 2014</w:t>
      </w:r>
    </w:p>
    <w:p w:rsidR="00F22AB9" w:rsidRPr="00F22AB9" w:rsidRDefault="00F22AB9" w:rsidP="00F22AB9">
      <w:pPr>
        <w:pStyle w:val="Footer"/>
        <w:jc w:val="left"/>
        <w:outlineLvl w:val="0"/>
        <w:rPr>
          <w:rFonts w:ascii="Palatino Linotype" w:hAnsi="Palatino Linotype" w:cstheme="majorBidi"/>
          <w:sz w:val="24"/>
          <w:szCs w:val="24"/>
        </w:rPr>
      </w:pPr>
      <w:r w:rsidRPr="00F22AB9">
        <w:rPr>
          <w:rFonts w:ascii="Palatino Linotype" w:hAnsi="Palatino Linotype" w:cstheme="majorBidi"/>
          <w:sz w:val="24"/>
          <w:szCs w:val="24"/>
        </w:rPr>
        <w:t>Professor Rachel Rojanski</w:t>
      </w:r>
    </w:p>
    <w:p w:rsidR="00F22AB9" w:rsidRPr="00F22AB9" w:rsidRDefault="00F22AB9" w:rsidP="00F22AB9">
      <w:pPr>
        <w:pStyle w:val="Footer"/>
        <w:jc w:val="left"/>
        <w:outlineLvl w:val="0"/>
        <w:rPr>
          <w:rFonts w:ascii="Palatino Linotype" w:hAnsi="Palatino Linotype" w:cstheme="majorBidi"/>
          <w:sz w:val="24"/>
          <w:szCs w:val="24"/>
        </w:rPr>
      </w:pPr>
      <w:r w:rsidRPr="00F22AB9">
        <w:rPr>
          <w:rFonts w:ascii="Palatino Linotype" w:hAnsi="Palatino Linotype" w:cstheme="majorBidi"/>
          <w:sz w:val="24"/>
          <w:szCs w:val="24"/>
        </w:rPr>
        <w:t>Rachel_Rojanski@Brown.edu</w:t>
      </w:r>
    </w:p>
    <w:p w:rsidR="00BF1BC5" w:rsidRPr="00BF1BC5" w:rsidRDefault="00BF1BC5" w:rsidP="001D1BE2">
      <w:p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BF1BC5">
        <w:rPr>
          <w:rFonts w:asciiTheme="majorBidi" w:hAnsiTheme="majorBidi" w:cstheme="majorBidi"/>
          <w:sz w:val="24"/>
          <w:szCs w:val="24"/>
        </w:rPr>
        <w:t xml:space="preserve">Monday </w:t>
      </w:r>
      <w:r>
        <w:rPr>
          <w:rFonts w:asciiTheme="majorBidi" w:hAnsiTheme="majorBidi" w:cstheme="majorBidi"/>
          <w:sz w:val="24"/>
          <w:szCs w:val="24"/>
        </w:rPr>
        <w:t xml:space="preserve"> 3:00-5:20</w:t>
      </w:r>
    </w:p>
    <w:p w:rsidR="001D1BE2" w:rsidRPr="00BF1BC5" w:rsidRDefault="001D1BE2" w:rsidP="00BF1BC5">
      <w:p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BF1BC5">
        <w:rPr>
          <w:rFonts w:asciiTheme="majorBidi" w:hAnsiTheme="majorBidi" w:cstheme="majorBidi"/>
          <w:sz w:val="24"/>
          <w:szCs w:val="24"/>
        </w:rPr>
        <w:t xml:space="preserve">Office Hour: </w:t>
      </w:r>
      <w:r w:rsidR="00BF1BC5">
        <w:rPr>
          <w:rFonts w:asciiTheme="majorBidi" w:hAnsiTheme="majorBidi" w:cstheme="majorBidi"/>
          <w:sz w:val="24"/>
          <w:szCs w:val="24"/>
        </w:rPr>
        <w:t>Thursday 1:00-2:15</w:t>
      </w:r>
    </w:p>
    <w:p w:rsidR="001D1BE2" w:rsidRDefault="001D1BE2" w:rsidP="001D1BE2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4F6B" w:rsidRDefault="009A7D1F" w:rsidP="000C70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3DA7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 of the State of Israel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7B75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52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1948 </w:t>
      </w:r>
      <w:r w:rsidR="002302CA">
        <w:rPr>
          <w:rFonts w:ascii="Times New Roman" w:hAnsi="Times New Roman" w:cs="Times New Roman"/>
          <w:b/>
          <w:bCs/>
          <w:sz w:val="28"/>
          <w:szCs w:val="28"/>
          <w:u w:val="single"/>
        </w:rPr>
        <w:t>to the Present</w:t>
      </w:r>
    </w:p>
    <w:p w:rsidR="00805228" w:rsidRDefault="009A7D1F" w:rsidP="00805228">
      <w:pPr>
        <w:shd w:val="clear" w:color="auto" w:fill="FFFFFF"/>
        <w:spacing w:line="111" w:lineRule="atLeast"/>
        <w:rPr>
          <w:rFonts w:ascii="Arial" w:hAnsi="Arial"/>
          <w:sz w:val="20"/>
          <w:szCs w:val="20"/>
        </w:rPr>
      </w:pPr>
      <w:r w:rsidRPr="009A7D1F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384634" cy="1147010"/>
            <wp:effectExtent l="19050" t="0" r="6016" b="0"/>
            <wp:docPr id="8" name="il_fi" descr="http://www.haaretz.co.il/polopoly_fs/1.1795034.1344251367!/image/1984288709.jpg_gen/derivatives/landscape_436_326/198428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aretz.co.il/polopoly_fs/1.1795034.1344251367!/image/1984288709.jpg_gen/derivatives/landscape_436_326/19842887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259" r="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43" cy="11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FF0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57923" cy="1127441"/>
            <wp:effectExtent l="19050" t="0" r="4177" b="0"/>
            <wp:docPr id="33" name="il_fi" descr="http://www.rabinkg.net/lei/images/Rabin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binkg.net/lei/images/Rabin/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56" cy="113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D5">
        <w:rPr>
          <w:rFonts w:ascii="Arial" w:hAnsi="Arial"/>
          <w:noProof/>
          <w:sz w:val="20"/>
          <w:szCs w:val="20"/>
        </w:rPr>
        <w:t xml:space="preserve"> </w:t>
      </w:r>
      <w:r w:rsidR="00805228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255027" cy="1127355"/>
            <wp:effectExtent l="19050" t="0" r="2273" b="0"/>
            <wp:docPr id="27" name="il_fi" descr="http://images.globes.co.il/Images/NewGlobes/Misc_2/asss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globes.co.il/Images/NewGlobes/Misc_2/asss5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76" cy="113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228">
        <w:rPr>
          <w:rFonts w:ascii="Arial" w:hAnsi="Arial"/>
          <w:noProof/>
          <w:sz w:val="20"/>
          <w:szCs w:val="20"/>
        </w:rPr>
        <w:t xml:space="preserve"> </w:t>
      </w:r>
      <w:r w:rsidR="00805228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432761" cy="1130968"/>
            <wp:effectExtent l="19050" t="0" r="0" b="0"/>
            <wp:docPr id="2" name="il_fi" descr="http://lib.cet.ac.il/storage/items/4000_4099/0000004014/000000401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cet.ac.il/storage/items/4000_4099/0000004014/0000004014_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55" cy="113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F2" w:rsidRDefault="000048F2" w:rsidP="008052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583C" w:rsidRPr="0061583C" w:rsidRDefault="0061583C" w:rsidP="0061583C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1583C">
        <w:rPr>
          <w:b/>
          <w:bCs/>
          <w:sz w:val="28"/>
          <w:szCs w:val="28"/>
          <w:u w:val="single"/>
        </w:rPr>
        <w:t>Course Description</w:t>
      </w:r>
    </w:p>
    <w:p w:rsidR="0061583C" w:rsidRDefault="0061583C" w:rsidP="0061583C">
      <w:pPr>
        <w:pStyle w:val="Default"/>
        <w:spacing w:line="360" w:lineRule="auto"/>
      </w:pPr>
    </w:p>
    <w:p w:rsidR="00CE3DA7" w:rsidRDefault="00CE3DA7" w:rsidP="00C52051">
      <w:pPr>
        <w:pStyle w:val="Default"/>
        <w:spacing w:line="360" w:lineRule="auto"/>
      </w:pPr>
      <w:r w:rsidRPr="003D08F9">
        <w:t xml:space="preserve">This course will </w:t>
      </w:r>
      <w:r w:rsidR="00966BF8">
        <w:t>survey</w:t>
      </w:r>
      <w:r w:rsidRPr="003D08F9">
        <w:t xml:space="preserve"> </w:t>
      </w:r>
      <w:r w:rsidR="00966BF8">
        <w:t xml:space="preserve">the history of Israel from the </w:t>
      </w:r>
      <w:r w:rsidR="00C52051">
        <w:t xml:space="preserve">1948 </w:t>
      </w:r>
      <w:r w:rsidR="00966BF8">
        <w:t>P</w:t>
      </w:r>
      <w:r w:rsidRPr="003D08F9">
        <w:t>roclamation of</w:t>
      </w:r>
      <w:r w:rsidR="003D08F9">
        <w:t xml:space="preserve"> </w:t>
      </w:r>
      <w:r w:rsidR="00966BF8">
        <w:t>I</w:t>
      </w:r>
      <w:r w:rsidRPr="003D08F9">
        <w:t xml:space="preserve">ndependence </w:t>
      </w:r>
      <w:r w:rsidR="00C52051">
        <w:t>until today</w:t>
      </w:r>
      <w:r w:rsidRPr="003D08F9">
        <w:t xml:space="preserve">.  </w:t>
      </w:r>
      <w:r w:rsidR="00966BF8">
        <w:t xml:space="preserve"> Israel's history has unfolded </w:t>
      </w:r>
      <w:r w:rsidR="003D08F9" w:rsidRPr="003D08F9">
        <w:t xml:space="preserve">under the shadow of </w:t>
      </w:r>
      <w:r w:rsidR="00966BF8">
        <w:t xml:space="preserve">its </w:t>
      </w:r>
      <w:r w:rsidR="003D08F9" w:rsidRPr="003D08F9">
        <w:t>prolonged conflict with the Palestinians and</w:t>
      </w:r>
      <w:r w:rsidR="00966BF8">
        <w:t xml:space="preserve"> its</w:t>
      </w:r>
      <w:r w:rsidR="003D08F9" w:rsidRPr="003D08F9">
        <w:t xml:space="preserve"> Arab </w:t>
      </w:r>
      <w:r w:rsidR="00966BF8">
        <w:t>neighbors.  At the same time, an entirely new, vibrant and dynamic society and culture</w:t>
      </w:r>
      <w:r w:rsidR="00C52051">
        <w:t xml:space="preserve"> has</w:t>
      </w:r>
      <w:r w:rsidR="00966BF8">
        <w:t xml:space="preserve"> developed there, making Israel a</w:t>
      </w:r>
      <w:r w:rsidR="003D08F9" w:rsidRPr="003D08F9">
        <w:t xml:space="preserve"> </w:t>
      </w:r>
      <w:r w:rsidR="00966BF8">
        <w:t>strong Western influence in th</w:t>
      </w:r>
      <w:r w:rsidR="006A100A">
        <w:t>e Middle E</w:t>
      </w:r>
      <w:r w:rsidR="00966BF8">
        <w:t>ast.</w:t>
      </w:r>
    </w:p>
    <w:p w:rsidR="00966BF8" w:rsidRDefault="00966BF8" w:rsidP="00C52051">
      <w:pPr>
        <w:pStyle w:val="Default"/>
        <w:spacing w:line="360" w:lineRule="auto"/>
      </w:pPr>
      <w:r w:rsidRPr="003D08F9">
        <w:t>The goal of this course is to familiarize the stud</w:t>
      </w:r>
      <w:r>
        <w:t>ent with the major outlines of Israel's development</w:t>
      </w:r>
      <w:r w:rsidRPr="003D08F9">
        <w:t xml:space="preserve">, </w:t>
      </w:r>
      <w:r>
        <w:t xml:space="preserve">as well as </w:t>
      </w:r>
      <w:r w:rsidRPr="003D08F9">
        <w:t>th</w:t>
      </w:r>
      <w:r>
        <w:t xml:space="preserve">e different </w:t>
      </w:r>
      <w:r w:rsidRPr="003D08F9">
        <w:t>narratives</w:t>
      </w:r>
      <w:r>
        <w:t xml:space="preserve"> and interpretations of that history</w:t>
      </w:r>
      <w:r w:rsidRPr="003D08F9">
        <w:t xml:space="preserve"> </w:t>
      </w:r>
      <w:r>
        <w:t xml:space="preserve">and </w:t>
      </w:r>
      <w:r w:rsidRPr="003D08F9">
        <w:t xml:space="preserve">issues </w:t>
      </w:r>
      <w:r w:rsidR="00C52051">
        <w:t xml:space="preserve">connected </w:t>
      </w:r>
      <w:r w:rsidRPr="003D08F9">
        <w:t>to the historiography of this troubled region.</w:t>
      </w:r>
      <w:r>
        <w:t xml:space="preserve">  T</w:t>
      </w:r>
      <w:r w:rsidRPr="003D08F9">
        <w:t xml:space="preserve">he reading materials and class discussions in this course will </w:t>
      </w:r>
      <w:r>
        <w:t>examine not only the course of the Israeli-Arab conflict, but also its influence on domestic Israeli po</w:t>
      </w:r>
      <w:r w:rsidRPr="00CE3DA7">
        <w:t xml:space="preserve">litics, </w:t>
      </w:r>
      <w:r>
        <w:t xml:space="preserve">culture, and society. </w:t>
      </w:r>
      <w:r w:rsidRPr="00CE3DA7">
        <w:t xml:space="preserve"> </w:t>
      </w:r>
    </w:p>
    <w:p w:rsidR="003E0F92" w:rsidRDefault="003E0F92" w:rsidP="00B91831">
      <w:pPr>
        <w:pStyle w:val="Default"/>
        <w:spacing w:line="360" w:lineRule="auto"/>
      </w:pPr>
    </w:p>
    <w:p w:rsidR="007B75CB" w:rsidRPr="00810FCA" w:rsidRDefault="007B75CB" w:rsidP="000D6C48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3DE" w:rsidRDefault="00F2159D" w:rsidP="00F92C6D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8A6" w:rsidRDefault="00FE38A6" w:rsidP="000D6C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Pr="00FE38A6" w:rsidRDefault="00FE38A6" w:rsidP="00FE38A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E38A6">
        <w:rPr>
          <w:rFonts w:ascii="Times New Roman" w:hAnsi="Times New Roman" w:cs="Times New Roman"/>
          <w:sz w:val="24"/>
          <w:szCs w:val="24"/>
          <w:u w:val="single"/>
        </w:rPr>
        <w:t>Reading List</w:t>
      </w:r>
    </w:p>
    <w:p w:rsidR="007413C5" w:rsidRDefault="007413C5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Pr="00810FCA" w:rsidRDefault="00FE38A6" w:rsidP="00FE38A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Itamar Rabinowitz &amp;Jehuda Reinhartz,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Israel in the Middle East, Documents and </w:t>
      </w:r>
      <w:r w:rsidR="007D046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>eadings on Society, Politics, and Foreign Relations, Pre-1948 to the Present,</w:t>
      </w:r>
      <w:r w:rsidRPr="00810FCA">
        <w:rPr>
          <w:rFonts w:ascii="Times New Roman" w:hAnsi="Times New Roman" w:cs="Times New Roman"/>
          <w:sz w:val="24"/>
          <w:szCs w:val="24"/>
        </w:rPr>
        <w:t xml:space="preserve"> Brandeis University Press, Waltham Ma, 2008.</w:t>
      </w:r>
    </w:p>
    <w:p w:rsidR="00FE38A6" w:rsidRPr="00810FCA" w:rsidRDefault="00FE38A6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Default="00FE38A6" w:rsidP="00FE38A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Allan Dowty, </w:t>
      </w:r>
      <w:r w:rsidR="007D0466">
        <w:rPr>
          <w:rFonts w:ascii="Times New Roman" w:hAnsi="Times New Roman" w:cs="Times New Roman"/>
          <w:i/>
          <w:iCs/>
          <w:sz w:val="24"/>
          <w:szCs w:val="24"/>
        </w:rPr>
        <w:t>A Jewish State, A C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entury Later, </w:t>
      </w:r>
      <w:r w:rsidRPr="00810FCA">
        <w:rPr>
          <w:rFonts w:ascii="Times New Roman" w:hAnsi="Times New Roman" w:cs="Times New Roman"/>
          <w:sz w:val="24"/>
          <w:szCs w:val="24"/>
        </w:rPr>
        <w:t>University of California Press, Berkeley and LA, 1998.</w:t>
      </w:r>
    </w:p>
    <w:p w:rsidR="0051489C" w:rsidRPr="00810FCA" w:rsidRDefault="0051489C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489C" w:rsidRDefault="00FE38A6" w:rsidP="00930728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Colin Shindler,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A History of Modern Israel, </w:t>
      </w:r>
      <w:r w:rsidRPr="00810FCA">
        <w:rPr>
          <w:rFonts w:ascii="Times New Roman" w:hAnsi="Times New Roman" w:cs="Times New Roman"/>
          <w:sz w:val="24"/>
          <w:szCs w:val="24"/>
        </w:rPr>
        <w:t>Cambridge, 2008</w:t>
      </w:r>
    </w:p>
    <w:p w:rsidR="00502BC9" w:rsidRDefault="00502BC9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489C" w:rsidRDefault="00A31678" w:rsidP="00FE38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Shapira, </w:t>
      </w:r>
      <w:r w:rsidRPr="00A31678">
        <w:rPr>
          <w:rFonts w:ascii="Times New Roman" w:hAnsi="Times New Roman" w:cs="Times New Roman"/>
          <w:i/>
          <w:iCs/>
          <w:sz w:val="24"/>
          <w:szCs w:val="24"/>
        </w:rPr>
        <w:t>Israel: A History</w:t>
      </w:r>
      <w:r w:rsidR="00930728">
        <w:rPr>
          <w:rFonts w:ascii="Times New Roman" w:hAnsi="Times New Roman" w:cs="Times New Roman"/>
          <w:sz w:val="24"/>
          <w:szCs w:val="24"/>
        </w:rPr>
        <w:t>, Brandeis University Press, 2012.</w:t>
      </w:r>
    </w:p>
    <w:p w:rsidR="00930728" w:rsidRPr="00930728" w:rsidRDefault="00930728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5227" w:rsidRDefault="00735227" w:rsidP="0031458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available at the Brown bookstore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14580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="00314580">
        <w:rPr>
          <w:rFonts w:ascii="Times New Roman" w:hAnsi="Times New Roman" w:cs="Times New Roman"/>
          <w:sz w:val="24"/>
          <w:szCs w:val="24"/>
        </w:rPr>
        <w:t xml:space="preserve"> book by Anita </w:t>
      </w:r>
      <w:proofErr w:type="spellStart"/>
      <w:r w:rsidR="00314580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="00314580">
        <w:rPr>
          <w:rFonts w:ascii="Times New Roman" w:hAnsi="Times New Roman" w:cs="Times New Roman"/>
          <w:sz w:val="24"/>
          <w:szCs w:val="24"/>
        </w:rPr>
        <w:t xml:space="preserve"> is also available for Kindle.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owever you don’t have to buy anything. All the books are in the library on reserves. </w:t>
      </w:r>
    </w:p>
    <w:p w:rsidR="00735227" w:rsidRPr="00502BC9" w:rsidRDefault="00735227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Default="00FE38A6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Default="00FE38A6" w:rsidP="00FE38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</w:t>
      </w:r>
      <w:r w:rsidR="00F92C6D">
        <w:rPr>
          <w:rFonts w:ascii="Times New Roman" w:hAnsi="Times New Roman" w:cs="Times New Roman"/>
          <w:sz w:val="24"/>
          <w:szCs w:val="24"/>
        </w:rPr>
        <w:t>course pack</w:t>
      </w:r>
      <w:r>
        <w:rPr>
          <w:rFonts w:ascii="Times New Roman" w:hAnsi="Times New Roman" w:cs="Times New Roman"/>
          <w:sz w:val="24"/>
          <w:szCs w:val="24"/>
        </w:rPr>
        <w:t xml:space="preserve"> of required readings.</w:t>
      </w:r>
      <w:r w:rsidR="00E253F3">
        <w:rPr>
          <w:rFonts w:ascii="Times New Roman" w:hAnsi="Times New Roman" w:cs="Times New Roman"/>
          <w:sz w:val="24"/>
          <w:szCs w:val="24"/>
        </w:rPr>
        <w:t xml:space="preserve"> Our password is:</w:t>
      </w:r>
      <w:r w:rsidR="00043BCE">
        <w:rPr>
          <w:rFonts w:ascii="Times New Roman" w:hAnsi="Times New Roman" w:cs="Times New Roman"/>
          <w:sz w:val="24"/>
          <w:szCs w:val="24"/>
        </w:rPr>
        <w:t xml:space="preserve"> </w:t>
      </w:r>
      <w:r w:rsidR="00E253F3">
        <w:rPr>
          <w:rFonts w:ascii="Times New Roman" w:hAnsi="Times New Roman" w:cs="Times New Roman"/>
          <w:sz w:val="24"/>
          <w:szCs w:val="24"/>
        </w:rPr>
        <w:t xml:space="preserve"> Israel</w:t>
      </w:r>
    </w:p>
    <w:p w:rsidR="0051489C" w:rsidRDefault="0051489C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5228" w:rsidRPr="00810FCA" w:rsidRDefault="00805228" w:rsidP="00FE38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38A6" w:rsidRPr="00810FCA" w:rsidRDefault="00FE38A6" w:rsidP="000D6C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5ECE" w:rsidRDefault="00B75ECE" w:rsidP="00B75ECE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</w:p>
    <w:p w:rsidR="0051489C" w:rsidRPr="00810FCA" w:rsidRDefault="0051489C" w:rsidP="00B75ECE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ECE" w:rsidRPr="00810FCA" w:rsidRDefault="00B75ECE" w:rsidP="00B75ECE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ECE" w:rsidRPr="00810FCA" w:rsidRDefault="00B75ECE" w:rsidP="0031458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1) </w:t>
      </w:r>
      <w:r w:rsidRPr="00810FCA">
        <w:rPr>
          <w:rFonts w:ascii="Times New Roman" w:hAnsi="Times New Roman" w:cs="Times New Roman"/>
          <w:b/>
          <w:bCs/>
          <w:sz w:val="24"/>
          <w:szCs w:val="24"/>
          <w:u w:val="single"/>
        </w:rPr>
        <w:t>Reading</w:t>
      </w:r>
      <w:r w:rsidRPr="00810FCA">
        <w:rPr>
          <w:rFonts w:ascii="Times New Roman" w:hAnsi="Times New Roman" w:cs="Times New Roman"/>
          <w:sz w:val="24"/>
          <w:szCs w:val="24"/>
        </w:rPr>
        <w:t>:  All reading is required.  .</w:t>
      </w:r>
    </w:p>
    <w:p w:rsidR="00B75ECE" w:rsidRPr="00810FCA" w:rsidRDefault="00B75ECE" w:rsidP="00B75E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489C" w:rsidRDefault="00B75ECE" w:rsidP="009B23D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2) </w:t>
      </w:r>
      <w:r w:rsidRPr="00810FCA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Preparation</w:t>
      </w:r>
      <w:r w:rsidRPr="00810FCA">
        <w:rPr>
          <w:rFonts w:ascii="Times New Roman" w:hAnsi="Times New Roman" w:cs="Times New Roman"/>
          <w:sz w:val="24"/>
          <w:szCs w:val="24"/>
        </w:rPr>
        <w:t>:</w:t>
      </w:r>
    </w:p>
    <w:p w:rsidR="00B75ECE" w:rsidRPr="00810FCA" w:rsidRDefault="00B75ECE" w:rsidP="009B23D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 T</w:t>
      </w:r>
      <w:r w:rsidR="009B23D0">
        <w:rPr>
          <w:rFonts w:ascii="Times New Roman" w:hAnsi="Times New Roman" w:cs="Times New Roman"/>
          <w:sz w:val="24"/>
          <w:szCs w:val="24"/>
        </w:rPr>
        <w:t>his course is a lecture course. This means that most lecture sessions will draw directly on the reading for the day. S</w:t>
      </w:r>
      <w:r w:rsidRPr="00810FCA">
        <w:rPr>
          <w:rFonts w:ascii="Times New Roman" w:hAnsi="Times New Roman" w:cs="Times New Roman"/>
          <w:sz w:val="24"/>
          <w:szCs w:val="24"/>
        </w:rPr>
        <w:t xml:space="preserve">tudents are encouraged to participate in discussions and to ask questions.   Please come prepared to class. </w:t>
      </w:r>
    </w:p>
    <w:p w:rsidR="00B75ECE" w:rsidRPr="00810FCA" w:rsidRDefault="00B75ECE" w:rsidP="00B75ECE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ECE" w:rsidRDefault="00B75ECE" w:rsidP="00B75ECE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3) </w:t>
      </w:r>
      <w:r w:rsidRPr="00810FCA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Assignments and Calendar of Submission</w:t>
      </w:r>
    </w:p>
    <w:p w:rsidR="0051489C" w:rsidRPr="00810FCA" w:rsidRDefault="0051489C" w:rsidP="00B75EC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14580" w:rsidRDefault="00314580" w:rsidP="00D43AB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WRIT course. </w:t>
      </w:r>
      <w:r w:rsidR="00B75ECE" w:rsidRPr="00810FCA">
        <w:rPr>
          <w:rFonts w:ascii="Times New Roman" w:hAnsi="Times New Roman" w:cs="Times New Roman"/>
          <w:sz w:val="24"/>
          <w:szCs w:val="24"/>
        </w:rPr>
        <w:t xml:space="preserve">Over the semester, students will have to submit </w:t>
      </w:r>
      <w:proofErr w:type="gramStart"/>
      <w:r w:rsidR="00B75ECE" w:rsidRPr="00810FCA">
        <w:rPr>
          <w:rFonts w:ascii="Times New Roman" w:hAnsi="Times New Roman" w:cs="Times New Roman"/>
          <w:sz w:val="24"/>
          <w:szCs w:val="24"/>
        </w:rPr>
        <w:t xml:space="preserve">three </w:t>
      </w:r>
      <w:r w:rsidR="00391CAC">
        <w:rPr>
          <w:rFonts w:ascii="Times New Roman" w:hAnsi="Times New Roman" w:cs="Times New Roman"/>
          <w:sz w:val="24"/>
          <w:szCs w:val="24"/>
        </w:rPr>
        <w:t xml:space="preserve"> papers</w:t>
      </w:r>
      <w:proofErr w:type="gramEnd"/>
      <w:r w:rsidR="00D43A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Two short ones on Israeli leaders and a </w:t>
      </w:r>
      <w:r w:rsidR="00D43AB5">
        <w:rPr>
          <w:rFonts w:ascii="Times New Roman" w:hAnsi="Times New Roman" w:cs="Times New Roman"/>
          <w:sz w:val="24"/>
          <w:szCs w:val="24"/>
        </w:rPr>
        <w:t xml:space="preserve">longer </w:t>
      </w:r>
      <w:r>
        <w:rPr>
          <w:rFonts w:ascii="Times New Roman" w:hAnsi="Times New Roman" w:cs="Times New Roman"/>
          <w:sz w:val="24"/>
          <w:szCs w:val="24"/>
        </w:rPr>
        <w:t xml:space="preserve">final paper. </w:t>
      </w:r>
      <w:r w:rsidR="00391CAC">
        <w:rPr>
          <w:rFonts w:ascii="Times New Roman" w:hAnsi="Times New Roman" w:cs="Times New Roman"/>
          <w:sz w:val="24"/>
          <w:szCs w:val="24"/>
        </w:rPr>
        <w:t xml:space="preserve"> The</w:t>
      </w:r>
      <w:r w:rsidR="006536E3" w:rsidRPr="00810FCA">
        <w:rPr>
          <w:rFonts w:ascii="Times New Roman" w:hAnsi="Times New Roman" w:cs="Times New Roman"/>
          <w:sz w:val="24"/>
          <w:szCs w:val="24"/>
        </w:rPr>
        <w:t xml:space="preserve"> focus of the </w:t>
      </w:r>
      <w:r>
        <w:rPr>
          <w:rFonts w:ascii="Times New Roman" w:hAnsi="Times New Roman" w:cs="Times New Roman"/>
          <w:sz w:val="24"/>
          <w:szCs w:val="24"/>
        </w:rPr>
        <w:t xml:space="preserve">short </w:t>
      </w:r>
      <w:r w:rsidR="006536E3" w:rsidRPr="00810FCA">
        <w:rPr>
          <w:rFonts w:ascii="Times New Roman" w:hAnsi="Times New Roman" w:cs="Times New Roman"/>
          <w:sz w:val="24"/>
          <w:szCs w:val="24"/>
        </w:rPr>
        <w:t>papers should be on the leadership of each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leaders </w:t>
      </w:r>
      <w:r w:rsidR="006536E3" w:rsidRPr="00810FCA">
        <w:rPr>
          <w:rFonts w:ascii="Times New Roman" w:hAnsi="Times New Roman" w:cs="Times New Roman"/>
          <w:sz w:val="24"/>
          <w:szCs w:val="24"/>
        </w:rPr>
        <w:t xml:space="preserve"> during</w:t>
      </w:r>
      <w:proofErr w:type="gramEnd"/>
      <w:r w:rsidR="006536E3" w:rsidRPr="00810FCA">
        <w:rPr>
          <w:rFonts w:ascii="Times New Roman" w:hAnsi="Times New Roman" w:cs="Times New Roman"/>
          <w:sz w:val="24"/>
          <w:szCs w:val="24"/>
        </w:rPr>
        <w:t xml:space="preserve"> the </w:t>
      </w:r>
      <w:r w:rsidR="00984CC5">
        <w:rPr>
          <w:rFonts w:ascii="Times New Roman" w:hAnsi="Times New Roman" w:cs="Times New Roman"/>
          <w:sz w:val="24"/>
          <w:szCs w:val="24"/>
        </w:rPr>
        <w:t xml:space="preserve">chronological </w:t>
      </w:r>
      <w:r w:rsidR="006536E3" w:rsidRPr="00810FCA">
        <w:rPr>
          <w:rFonts w:ascii="Times New Roman" w:hAnsi="Times New Roman" w:cs="Times New Roman"/>
          <w:sz w:val="24"/>
          <w:szCs w:val="24"/>
        </w:rPr>
        <w:t>period discussed in class. In the papers</w:t>
      </w:r>
      <w:r w:rsidR="00D43AB5">
        <w:rPr>
          <w:rFonts w:ascii="Times New Roman" w:hAnsi="Times New Roman" w:cs="Times New Roman"/>
          <w:sz w:val="24"/>
          <w:szCs w:val="24"/>
        </w:rPr>
        <w:t>,</w:t>
      </w:r>
      <w:r w:rsidR="006536E3" w:rsidRPr="00810FCA">
        <w:rPr>
          <w:rFonts w:ascii="Times New Roman" w:hAnsi="Times New Roman" w:cs="Times New Roman"/>
          <w:sz w:val="24"/>
          <w:szCs w:val="24"/>
        </w:rPr>
        <w:t xml:space="preserve"> students will have to integrate the knowledge and understanding they </w:t>
      </w:r>
      <w:r w:rsidR="00984CC5">
        <w:rPr>
          <w:rFonts w:ascii="Times New Roman" w:hAnsi="Times New Roman" w:cs="Times New Roman"/>
          <w:sz w:val="24"/>
          <w:szCs w:val="24"/>
        </w:rPr>
        <w:t xml:space="preserve">have </w:t>
      </w:r>
      <w:r w:rsidR="006536E3" w:rsidRPr="00810FCA">
        <w:rPr>
          <w:rFonts w:ascii="Times New Roman" w:hAnsi="Times New Roman" w:cs="Times New Roman"/>
          <w:sz w:val="24"/>
          <w:szCs w:val="24"/>
        </w:rPr>
        <w:t>acquired during class with additional readings</w:t>
      </w:r>
      <w:r w:rsidR="000F51E2">
        <w:rPr>
          <w:rFonts w:ascii="Times New Roman" w:hAnsi="Times New Roman" w:cs="Times New Roman"/>
          <w:sz w:val="24"/>
          <w:szCs w:val="24"/>
        </w:rPr>
        <w:t xml:space="preserve">. Each topic in the list is followed by one basic book. Students </w:t>
      </w:r>
      <w:r w:rsidR="00984CC5">
        <w:rPr>
          <w:rFonts w:ascii="Times New Roman" w:hAnsi="Times New Roman" w:cs="Times New Roman"/>
          <w:sz w:val="24"/>
          <w:szCs w:val="24"/>
        </w:rPr>
        <w:t>must</w:t>
      </w:r>
      <w:r w:rsidR="000F51E2">
        <w:rPr>
          <w:rFonts w:ascii="Times New Roman" w:hAnsi="Times New Roman" w:cs="Times New Roman"/>
          <w:sz w:val="24"/>
          <w:szCs w:val="24"/>
        </w:rPr>
        <w:t xml:space="preserve"> consult the professor for some additional reading. </w:t>
      </w:r>
    </w:p>
    <w:p w:rsidR="00B75ECE" w:rsidRPr="00810FCA" w:rsidRDefault="00314580" w:rsidP="0031458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paper is an independent paper on any topic relevant to the class. Students should consult the professor before choosing a topic. </w:t>
      </w:r>
      <w:r w:rsidR="006536E3" w:rsidRPr="00810FCA">
        <w:rPr>
          <w:rFonts w:ascii="Times New Roman" w:hAnsi="Times New Roman" w:cs="Times New Roman"/>
          <w:sz w:val="24"/>
          <w:szCs w:val="24"/>
        </w:rPr>
        <w:t xml:space="preserve">  </w:t>
      </w:r>
      <w:r w:rsidR="00B75ECE" w:rsidRPr="0081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CE" w:rsidRPr="00810FCA" w:rsidRDefault="00B75ECE" w:rsidP="00B75E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0466" w:rsidRDefault="00B75ECE" w:rsidP="00675191">
      <w:pPr>
        <w:jc w:val="left"/>
        <w:rPr>
          <w:rFonts w:ascii="Times New Roman" w:hAnsi="Times New Roman" w:cs="Times New Roman"/>
          <w:sz w:val="24"/>
          <w:szCs w:val="24"/>
        </w:rPr>
      </w:pPr>
      <w:r w:rsidRPr="005371F8">
        <w:rPr>
          <w:rFonts w:ascii="Times New Roman" w:hAnsi="Times New Roman" w:cs="Times New Roman"/>
          <w:b/>
          <w:bCs/>
          <w:sz w:val="28"/>
          <w:szCs w:val="28"/>
          <w:u w:val="single"/>
        </w:rPr>
        <w:t>Paper #1</w:t>
      </w:r>
      <w:r w:rsidR="007D0466">
        <w:rPr>
          <w:rFonts w:ascii="Times New Roman" w:hAnsi="Times New Roman" w:cs="Times New Roman"/>
          <w:sz w:val="24"/>
          <w:szCs w:val="24"/>
        </w:rPr>
        <w:t xml:space="preserve"> A short essay (</w:t>
      </w:r>
      <w:r w:rsidRPr="00810FCA">
        <w:rPr>
          <w:rFonts w:ascii="Times New Roman" w:hAnsi="Times New Roman" w:cs="Times New Roman"/>
          <w:sz w:val="24"/>
          <w:szCs w:val="24"/>
        </w:rPr>
        <w:t>1</w:t>
      </w:r>
      <w:r w:rsidR="00502BC9">
        <w:rPr>
          <w:rFonts w:ascii="Times New Roman" w:hAnsi="Times New Roman" w:cs="Times New Roman"/>
          <w:sz w:val="24"/>
          <w:szCs w:val="24"/>
        </w:rPr>
        <w:t>500</w:t>
      </w:r>
      <w:r w:rsidRPr="00810FCA">
        <w:rPr>
          <w:rFonts w:ascii="Times New Roman" w:hAnsi="Times New Roman" w:cs="Times New Roman"/>
          <w:sz w:val="24"/>
          <w:szCs w:val="24"/>
        </w:rPr>
        <w:t xml:space="preserve"> words</w:t>
      </w:r>
      <w:r w:rsidR="008C0289">
        <w:rPr>
          <w:rFonts w:ascii="Times New Roman" w:hAnsi="Times New Roman" w:cs="Times New Roman"/>
          <w:sz w:val="24"/>
          <w:szCs w:val="24"/>
        </w:rPr>
        <w:t>) on David Ben-Gurion as Prime M</w:t>
      </w:r>
      <w:r w:rsidRPr="00810FCA">
        <w:rPr>
          <w:rFonts w:ascii="Times New Roman" w:hAnsi="Times New Roman" w:cs="Times New Roman"/>
          <w:sz w:val="24"/>
          <w:szCs w:val="24"/>
        </w:rPr>
        <w:t>inister</w:t>
      </w:r>
      <w:r w:rsidR="00675191">
        <w:rPr>
          <w:rFonts w:ascii="Times New Roman" w:hAnsi="Times New Roman" w:cs="Times New Roman"/>
          <w:sz w:val="24"/>
          <w:szCs w:val="24"/>
        </w:rPr>
        <w:t xml:space="preserve"> (1948-1954;1955-1963).</w:t>
      </w: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E2" w:rsidRDefault="000F51E2" w:rsidP="000F51E2">
      <w:pPr>
        <w:pStyle w:val="Default"/>
        <w:rPr>
          <w:sz w:val="23"/>
          <w:szCs w:val="23"/>
        </w:rPr>
      </w:pPr>
      <w:r>
        <w:t xml:space="preserve">Reading: </w:t>
      </w:r>
      <w:r>
        <w:rPr>
          <w:sz w:val="23"/>
          <w:szCs w:val="23"/>
        </w:rPr>
        <w:t xml:space="preserve">Michael Bar-Zohar, </w:t>
      </w:r>
      <w:r w:rsidRPr="000F51E2">
        <w:rPr>
          <w:i/>
          <w:iCs/>
          <w:sz w:val="23"/>
          <w:szCs w:val="23"/>
        </w:rPr>
        <w:t>Ben-Gurion: A Biography</w:t>
      </w:r>
      <w:r w:rsidR="007D0466">
        <w:rPr>
          <w:sz w:val="23"/>
          <w:szCs w:val="23"/>
        </w:rPr>
        <w:t>, New York, Adama Books,</w:t>
      </w:r>
      <w:r>
        <w:rPr>
          <w:sz w:val="23"/>
          <w:szCs w:val="23"/>
        </w:rPr>
        <w:t xml:space="preserve">1986.  </w:t>
      </w:r>
    </w:p>
    <w:p w:rsidR="008C0289" w:rsidRDefault="008C0289" w:rsidP="008C02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289" w:rsidRDefault="008C0289" w:rsidP="006D74D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10FCA">
        <w:rPr>
          <w:rFonts w:ascii="Times New Roman" w:hAnsi="Times New Roman" w:cs="Times New Roman"/>
          <w:sz w:val="24"/>
          <w:szCs w:val="24"/>
        </w:rPr>
        <w:t>uestion</w:t>
      </w:r>
      <w:r>
        <w:rPr>
          <w:rFonts w:ascii="Times New Roman" w:hAnsi="Times New Roman" w:cs="Times New Roman"/>
          <w:sz w:val="24"/>
          <w:szCs w:val="24"/>
        </w:rPr>
        <w:t>: H</w:t>
      </w:r>
      <w:r w:rsidRPr="00810FCA">
        <w:rPr>
          <w:rFonts w:ascii="Times New Roman" w:hAnsi="Times New Roman" w:cs="Times New Roman"/>
          <w:sz w:val="24"/>
          <w:szCs w:val="24"/>
        </w:rPr>
        <w:t>ow did Ben-G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0FCA">
        <w:rPr>
          <w:rFonts w:ascii="Times New Roman" w:hAnsi="Times New Roman" w:cs="Times New Roman"/>
          <w:sz w:val="24"/>
          <w:szCs w:val="24"/>
        </w:rPr>
        <w:t>rion’s leadership shape Israeli society during the 1950s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  <w:r w:rsidR="004A61F8">
        <w:rPr>
          <w:rFonts w:ascii="Times New Roman" w:hAnsi="Times New Roman" w:cs="Times New Roman"/>
          <w:sz w:val="24"/>
          <w:szCs w:val="24"/>
        </w:rPr>
        <w:t>(</w:t>
      </w:r>
      <w:r w:rsidR="00A77C44">
        <w:rPr>
          <w:rFonts w:ascii="Times New Roman" w:hAnsi="Times New Roman" w:cs="Times New Roman"/>
          <w:sz w:val="24"/>
          <w:szCs w:val="24"/>
        </w:rPr>
        <w:t>F</w:t>
      </w:r>
      <w:r w:rsidR="006D74D6">
        <w:rPr>
          <w:rFonts w:ascii="Times New Roman" w:hAnsi="Times New Roman" w:cs="Times New Roman"/>
          <w:sz w:val="24"/>
          <w:szCs w:val="24"/>
        </w:rPr>
        <w:t>ocus on one aspect: defense</w:t>
      </w:r>
      <w:proofErr w:type="gramStart"/>
      <w:r w:rsidR="006D74D6">
        <w:rPr>
          <w:rFonts w:ascii="Times New Roman" w:hAnsi="Times New Roman" w:cs="Times New Roman"/>
          <w:sz w:val="24"/>
          <w:szCs w:val="24"/>
        </w:rPr>
        <w:t>,  society</w:t>
      </w:r>
      <w:proofErr w:type="gramEnd"/>
      <w:r w:rsidR="006D74D6">
        <w:rPr>
          <w:rFonts w:ascii="Times New Roman" w:hAnsi="Times New Roman" w:cs="Times New Roman"/>
          <w:sz w:val="24"/>
          <w:szCs w:val="24"/>
        </w:rPr>
        <w:t xml:space="preserve">, </w:t>
      </w:r>
      <w:r w:rsidR="00D43AB5">
        <w:rPr>
          <w:rFonts w:ascii="Times New Roman" w:hAnsi="Times New Roman" w:cs="Times New Roman"/>
          <w:sz w:val="24"/>
          <w:szCs w:val="24"/>
        </w:rPr>
        <w:t xml:space="preserve">or </w:t>
      </w:r>
      <w:r w:rsidR="006D74D6">
        <w:rPr>
          <w:rFonts w:ascii="Times New Roman" w:hAnsi="Times New Roman" w:cs="Times New Roman"/>
          <w:sz w:val="24"/>
          <w:szCs w:val="24"/>
        </w:rPr>
        <w:t>economics)</w:t>
      </w:r>
    </w:p>
    <w:p w:rsidR="008C73E2" w:rsidRDefault="008C73E2" w:rsidP="006D74D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7C44" w:rsidRDefault="00B75ECE" w:rsidP="0071682A">
      <w:pPr>
        <w:pStyle w:val="Default"/>
        <w:rPr>
          <w:b/>
          <w:bCs/>
          <w:u w:val="single"/>
        </w:rPr>
      </w:pPr>
      <w:r w:rsidRPr="005371F8">
        <w:rPr>
          <w:b/>
          <w:bCs/>
          <w:u w:val="single"/>
        </w:rPr>
        <w:t>Paper due</w:t>
      </w:r>
      <w:r w:rsidRPr="00314580">
        <w:rPr>
          <w:b/>
          <w:bCs/>
          <w:u w:val="single"/>
        </w:rPr>
        <w:t xml:space="preserve">: </w:t>
      </w:r>
      <w:r w:rsidR="0071682A" w:rsidRPr="00314580">
        <w:rPr>
          <w:b/>
          <w:bCs/>
          <w:u w:val="single"/>
        </w:rPr>
        <w:t xml:space="preserve">February </w:t>
      </w:r>
      <w:proofErr w:type="gramStart"/>
      <w:r w:rsidR="0071682A" w:rsidRPr="00314580">
        <w:rPr>
          <w:b/>
          <w:bCs/>
          <w:u w:val="single"/>
        </w:rPr>
        <w:t xml:space="preserve">24 </w:t>
      </w:r>
      <w:r w:rsidR="00A77C44" w:rsidRPr="00314580">
        <w:rPr>
          <w:b/>
          <w:bCs/>
          <w:u w:val="single"/>
        </w:rPr>
        <w:t>,</w:t>
      </w:r>
      <w:proofErr w:type="gramEnd"/>
      <w:r w:rsidR="00A77C44" w:rsidRPr="00314580">
        <w:rPr>
          <w:b/>
          <w:bCs/>
          <w:u w:val="single"/>
        </w:rPr>
        <w:t xml:space="preserve"> at 5:00PM</w:t>
      </w:r>
      <w:r w:rsidR="00A77C44">
        <w:rPr>
          <w:b/>
          <w:bCs/>
          <w:u w:val="single"/>
        </w:rPr>
        <w:t xml:space="preserve"> </w:t>
      </w:r>
    </w:p>
    <w:p w:rsidR="007D0466" w:rsidRPr="005371F8" w:rsidRDefault="00B75ECE" w:rsidP="00262240">
      <w:pPr>
        <w:pStyle w:val="Default"/>
        <w:tabs>
          <w:tab w:val="left" w:pos="1781"/>
        </w:tabs>
        <w:rPr>
          <w:b/>
          <w:bCs/>
          <w:u w:val="single"/>
        </w:rPr>
      </w:pPr>
      <w:r w:rsidRPr="005371F8">
        <w:rPr>
          <w:b/>
          <w:bCs/>
          <w:u w:val="single"/>
        </w:rPr>
        <w:t xml:space="preserve"> </w:t>
      </w:r>
    </w:p>
    <w:p w:rsidR="007413C5" w:rsidRPr="005371F8" w:rsidRDefault="00B75ECE" w:rsidP="007413C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1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</w:p>
    <w:p w:rsidR="007D0466" w:rsidRDefault="00B75ECE" w:rsidP="00502BC9">
      <w:pPr>
        <w:jc w:val="left"/>
        <w:rPr>
          <w:rFonts w:ascii="Times New Roman" w:hAnsi="Times New Roman" w:cs="Times New Roman"/>
          <w:sz w:val="24"/>
          <w:szCs w:val="24"/>
        </w:rPr>
      </w:pPr>
      <w:r w:rsidRPr="005371F8">
        <w:rPr>
          <w:rFonts w:ascii="Times New Roman" w:hAnsi="Times New Roman" w:cs="Times New Roman"/>
          <w:b/>
          <w:bCs/>
          <w:sz w:val="28"/>
          <w:szCs w:val="28"/>
          <w:u w:val="single"/>
        </w:rPr>
        <w:t>Paper #2</w:t>
      </w:r>
      <w:r w:rsidRPr="00810FCA">
        <w:rPr>
          <w:rFonts w:ascii="Times New Roman" w:hAnsi="Times New Roman" w:cs="Times New Roman"/>
          <w:sz w:val="24"/>
          <w:szCs w:val="24"/>
        </w:rPr>
        <w:t xml:space="preserve"> A short essay ( 1</w:t>
      </w:r>
      <w:r w:rsidR="00502BC9">
        <w:rPr>
          <w:rFonts w:ascii="Times New Roman" w:hAnsi="Times New Roman" w:cs="Times New Roman"/>
          <w:sz w:val="24"/>
          <w:szCs w:val="24"/>
        </w:rPr>
        <w:t>500</w:t>
      </w:r>
      <w:r w:rsidRPr="00810FCA">
        <w:rPr>
          <w:rFonts w:ascii="Times New Roman" w:hAnsi="Times New Roman" w:cs="Times New Roman"/>
          <w:sz w:val="24"/>
          <w:szCs w:val="24"/>
        </w:rPr>
        <w:t xml:space="preserve"> words) on Menahem Begin </w:t>
      </w:r>
      <w:r w:rsidR="007D0466">
        <w:rPr>
          <w:rFonts w:ascii="Times New Roman" w:hAnsi="Times New Roman" w:cs="Times New Roman"/>
          <w:sz w:val="24"/>
          <w:szCs w:val="24"/>
        </w:rPr>
        <w:t xml:space="preserve"> as Prime M</w:t>
      </w:r>
      <w:r w:rsidR="006536E3" w:rsidRPr="00810FCA">
        <w:rPr>
          <w:rFonts w:ascii="Times New Roman" w:hAnsi="Times New Roman" w:cs="Times New Roman"/>
          <w:sz w:val="24"/>
          <w:szCs w:val="24"/>
        </w:rPr>
        <w:t>inister</w:t>
      </w:r>
      <w:r w:rsidR="009B705F">
        <w:rPr>
          <w:rFonts w:ascii="Times New Roman" w:hAnsi="Times New Roman" w:cs="Times New Roman"/>
          <w:sz w:val="24"/>
          <w:szCs w:val="24"/>
        </w:rPr>
        <w:t xml:space="preserve"> (1977-1983)</w:t>
      </w:r>
      <w:r w:rsidR="007D0466">
        <w:rPr>
          <w:rFonts w:ascii="Times New Roman" w:hAnsi="Times New Roman" w:cs="Times New Roman"/>
          <w:sz w:val="24"/>
          <w:szCs w:val="24"/>
        </w:rPr>
        <w:t>.</w:t>
      </w:r>
    </w:p>
    <w:p w:rsidR="000F51E2" w:rsidRPr="000F51E2" w:rsidRDefault="000F51E2" w:rsidP="000F51E2">
      <w:pPr>
        <w:jc w:val="left"/>
        <w:rPr>
          <w:rFonts w:ascii="Times New Roman" w:hAnsi="Times New Roman" w:cs="Times New Roman"/>
          <w:sz w:val="24"/>
          <w:szCs w:val="24"/>
        </w:rPr>
      </w:pPr>
      <w:r w:rsidRPr="000F51E2">
        <w:rPr>
          <w:rFonts w:ascii="Times New Roman" w:hAnsi="Times New Roman" w:cs="Times New Roman"/>
          <w:sz w:val="24"/>
          <w:szCs w:val="24"/>
        </w:rPr>
        <w:t xml:space="preserve">Reading: Eric Silver (1984) </w:t>
      </w:r>
      <w:r w:rsidRPr="000F51E2">
        <w:rPr>
          <w:rFonts w:ascii="Times New Roman" w:hAnsi="Times New Roman" w:cs="Times New Roman"/>
          <w:i/>
          <w:iCs/>
          <w:sz w:val="24"/>
          <w:szCs w:val="24"/>
        </w:rPr>
        <w:t>Begin: The Haunted Prophet</w:t>
      </w:r>
      <w:r w:rsidRPr="000F51E2">
        <w:rPr>
          <w:rFonts w:ascii="Times New Roman" w:hAnsi="Times New Roman" w:cs="Times New Roman"/>
          <w:sz w:val="24"/>
          <w:szCs w:val="24"/>
        </w:rPr>
        <w:t>, New York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1E2">
        <w:rPr>
          <w:rFonts w:ascii="Times New Roman" w:hAnsi="Times New Roman" w:cs="Times New Roman"/>
          <w:sz w:val="24"/>
          <w:szCs w:val="24"/>
        </w:rPr>
        <w:t xml:space="preserve"> Random House</w:t>
      </w:r>
      <w:r>
        <w:rPr>
          <w:rFonts w:ascii="Times New Roman" w:hAnsi="Times New Roman" w:cs="Times New Roman"/>
          <w:sz w:val="24"/>
          <w:szCs w:val="24"/>
        </w:rPr>
        <w:t>, 1984.</w:t>
      </w:r>
    </w:p>
    <w:p w:rsidR="00814863" w:rsidRPr="000F51E2" w:rsidRDefault="00814863" w:rsidP="008148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289" w:rsidRDefault="008C0289" w:rsidP="008C73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was the</w:t>
      </w:r>
      <w:r w:rsidRPr="00810FCA">
        <w:rPr>
          <w:rFonts w:ascii="Times New Roman" w:hAnsi="Times New Roman" w:cs="Times New Roman"/>
          <w:sz w:val="24"/>
          <w:szCs w:val="24"/>
        </w:rPr>
        <w:t xml:space="preserve"> impact of</w:t>
      </w:r>
      <w:r w:rsidR="008C73E2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Begin’s</w:t>
      </w:r>
      <w:r w:rsidRPr="00810FCA">
        <w:rPr>
          <w:rFonts w:ascii="Times New Roman" w:hAnsi="Times New Roman" w:cs="Times New Roman"/>
          <w:sz w:val="24"/>
          <w:szCs w:val="24"/>
        </w:rPr>
        <w:t xml:space="preserve"> leadership on Israeli Society</w:t>
      </w:r>
      <w:r>
        <w:rPr>
          <w:rFonts w:ascii="Times New Roman" w:hAnsi="Times New Roman" w:cs="Times New Roman"/>
          <w:sz w:val="24"/>
          <w:szCs w:val="24"/>
        </w:rPr>
        <w:t xml:space="preserve"> in the 1970s and 80s?</w:t>
      </w:r>
      <w:r w:rsidR="00A77C44">
        <w:rPr>
          <w:rFonts w:ascii="Times New Roman" w:hAnsi="Times New Roman" w:cs="Times New Roman"/>
          <w:sz w:val="24"/>
          <w:szCs w:val="24"/>
        </w:rPr>
        <w:t xml:space="preserve"> (C</w:t>
      </w:r>
      <w:r w:rsidR="008C73E2">
        <w:rPr>
          <w:rFonts w:ascii="Times New Roman" w:hAnsi="Times New Roman" w:cs="Times New Roman"/>
          <w:sz w:val="24"/>
          <w:szCs w:val="24"/>
        </w:rPr>
        <w:t xml:space="preserve">hoose one aspect from the following: </w:t>
      </w:r>
      <w:r w:rsidR="00A77C44">
        <w:rPr>
          <w:rFonts w:ascii="Times New Roman" w:hAnsi="Times New Roman" w:cs="Times New Roman"/>
          <w:sz w:val="24"/>
          <w:szCs w:val="24"/>
        </w:rPr>
        <w:t>The Transition</w:t>
      </w:r>
      <w:r w:rsidR="0019320D">
        <w:rPr>
          <w:rFonts w:ascii="Times New Roman" w:hAnsi="Times New Roman" w:cs="Times New Roman"/>
          <w:sz w:val="24"/>
          <w:szCs w:val="24"/>
        </w:rPr>
        <w:t xml:space="preserve"> from S</w:t>
      </w:r>
      <w:r w:rsidR="008C73E2">
        <w:rPr>
          <w:rFonts w:ascii="Times New Roman" w:hAnsi="Times New Roman" w:cs="Times New Roman"/>
          <w:sz w:val="24"/>
          <w:szCs w:val="24"/>
        </w:rPr>
        <w:t>ocialism to Capitalism</w:t>
      </w:r>
      <w:proofErr w:type="gramStart"/>
      <w:r w:rsidR="008C73E2">
        <w:rPr>
          <w:rFonts w:ascii="Times New Roman" w:hAnsi="Times New Roman" w:cs="Times New Roman"/>
          <w:sz w:val="24"/>
          <w:szCs w:val="24"/>
        </w:rPr>
        <w:t xml:space="preserve">, </w:t>
      </w:r>
      <w:r w:rsidR="0019320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19320D">
        <w:rPr>
          <w:rFonts w:ascii="Times New Roman" w:hAnsi="Times New Roman" w:cs="Times New Roman"/>
          <w:sz w:val="24"/>
          <w:szCs w:val="24"/>
        </w:rPr>
        <w:t xml:space="preserve"> Peace Process with Egypt</w:t>
      </w:r>
      <w:r w:rsidR="00A77C44">
        <w:rPr>
          <w:rFonts w:ascii="Times New Roman" w:hAnsi="Times New Roman" w:cs="Times New Roman"/>
          <w:sz w:val="24"/>
          <w:szCs w:val="24"/>
        </w:rPr>
        <w:t xml:space="preserve">, </w:t>
      </w:r>
      <w:r w:rsidR="00D43AB5">
        <w:rPr>
          <w:rFonts w:ascii="Times New Roman" w:hAnsi="Times New Roman" w:cs="Times New Roman"/>
          <w:sz w:val="24"/>
          <w:szCs w:val="24"/>
        </w:rPr>
        <w:t xml:space="preserve">or </w:t>
      </w:r>
      <w:r w:rsidR="00A77C44">
        <w:rPr>
          <w:rFonts w:ascii="Times New Roman" w:hAnsi="Times New Roman" w:cs="Times New Roman"/>
          <w:sz w:val="24"/>
          <w:szCs w:val="24"/>
        </w:rPr>
        <w:t>the F</w:t>
      </w:r>
      <w:r w:rsidR="005E7C61">
        <w:rPr>
          <w:rFonts w:ascii="Times New Roman" w:hAnsi="Times New Roman" w:cs="Times New Roman"/>
          <w:sz w:val="24"/>
          <w:szCs w:val="24"/>
        </w:rPr>
        <w:t>irst Lebanon W</w:t>
      </w:r>
      <w:r w:rsidR="00D45975">
        <w:rPr>
          <w:rFonts w:ascii="Times New Roman" w:hAnsi="Times New Roman" w:cs="Times New Roman"/>
          <w:sz w:val="24"/>
          <w:szCs w:val="24"/>
        </w:rPr>
        <w:t>ar</w:t>
      </w:r>
      <w:r w:rsidR="0019320D">
        <w:rPr>
          <w:rFonts w:ascii="Times New Roman" w:hAnsi="Times New Roman" w:cs="Times New Roman"/>
          <w:sz w:val="24"/>
          <w:szCs w:val="24"/>
        </w:rPr>
        <w:t>).</w:t>
      </w:r>
    </w:p>
    <w:p w:rsidR="003A1D56" w:rsidRDefault="003A1D56" w:rsidP="008C73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36E3" w:rsidRDefault="00B75ECE" w:rsidP="0071682A">
      <w:pPr>
        <w:jc w:val="left"/>
        <w:rPr>
          <w:rFonts w:ascii="Times New Roman" w:hAnsi="Times New Roman" w:cs="Times New Roman"/>
          <w:sz w:val="24"/>
          <w:szCs w:val="24"/>
        </w:rPr>
      </w:pPr>
      <w:r w:rsidRPr="005371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Paper due: </w:t>
      </w:r>
      <w:r w:rsidR="006536E3" w:rsidRPr="005371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168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March 31</w:t>
      </w:r>
      <w:r w:rsidR="0071682A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 w:rsidR="00EC6FA9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5PM</w:t>
      </w:r>
    </w:p>
    <w:p w:rsidR="00A77C44" w:rsidRDefault="00A77C44" w:rsidP="00EC6FA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5ECE" w:rsidRPr="00810FCA" w:rsidRDefault="00B75ECE" w:rsidP="00B75EC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457D" w:rsidRDefault="00B75ECE" w:rsidP="00D43AB5">
      <w:pPr>
        <w:jc w:val="left"/>
        <w:rPr>
          <w:rFonts w:ascii="Times New Roman" w:hAnsi="Times New Roman" w:cs="Times New Roman"/>
          <w:sz w:val="24"/>
          <w:szCs w:val="24"/>
        </w:rPr>
      </w:pPr>
      <w:r w:rsidRPr="00314580">
        <w:rPr>
          <w:rFonts w:ascii="Times New Roman" w:hAnsi="Times New Roman" w:cs="Times New Roman"/>
          <w:b/>
          <w:bCs/>
          <w:sz w:val="28"/>
          <w:szCs w:val="28"/>
          <w:u w:val="single"/>
        </w:rPr>
        <w:t>Paper #3</w:t>
      </w:r>
      <w:r w:rsidR="009109AD" w:rsidRPr="00314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Final paper</w:t>
      </w:r>
      <w:r w:rsidR="0071682A" w:rsidRPr="00314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109AD" w:rsidRPr="003145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D0466" w:rsidRPr="00314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466" w:rsidRPr="003145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0466" w:rsidRPr="00314580">
        <w:rPr>
          <w:rFonts w:ascii="Times New Roman" w:hAnsi="Times New Roman" w:cs="Times New Roman"/>
          <w:sz w:val="24"/>
          <w:szCs w:val="24"/>
        </w:rPr>
        <w:t xml:space="preserve"> </w:t>
      </w:r>
      <w:r w:rsidR="0051489C" w:rsidRPr="00314580">
        <w:rPr>
          <w:rFonts w:ascii="Times New Roman" w:hAnsi="Times New Roman" w:cs="Times New Roman"/>
          <w:sz w:val="24"/>
          <w:szCs w:val="24"/>
        </w:rPr>
        <w:t xml:space="preserve">longer </w:t>
      </w:r>
      <w:r w:rsidR="007D0466" w:rsidRPr="00314580">
        <w:rPr>
          <w:rFonts w:ascii="Times New Roman" w:hAnsi="Times New Roman" w:cs="Times New Roman"/>
          <w:sz w:val="24"/>
          <w:szCs w:val="24"/>
        </w:rPr>
        <w:t>essay (</w:t>
      </w:r>
      <w:r w:rsidR="009109AD" w:rsidRPr="00314580">
        <w:rPr>
          <w:rFonts w:ascii="Times New Roman" w:hAnsi="Times New Roman" w:cs="Times New Roman"/>
          <w:sz w:val="24"/>
          <w:szCs w:val="24"/>
        </w:rPr>
        <w:t>3500</w:t>
      </w:r>
      <w:r w:rsidRPr="00314580">
        <w:rPr>
          <w:rFonts w:ascii="Times New Roman" w:hAnsi="Times New Roman" w:cs="Times New Roman"/>
          <w:sz w:val="24"/>
          <w:szCs w:val="24"/>
        </w:rPr>
        <w:t xml:space="preserve"> words) on </w:t>
      </w:r>
      <w:r w:rsidR="009109AD" w:rsidRPr="00314580">
        <w:rPr>
          <w:rFonts w:ascii="Times New Roman" w:hAnsi="Times New Roman" w:cs="Times New Roman"/>
          <w:sz w:val="24"/>
          <w:szCs w:val="24"/>
        </w:rPr>
        <w:t xml:space="preserve">any of the topics discussed in class. Students will </w:t>
      </w:r>
      <w:r w:rsidR="00D43AB5">
        <w:rPr>
          <w:rFonts w:ascii="Times New Roman" w:hAnsi="Times New Roman" w:cs="Times New Roman"/>
          <w:sz w:val="24"/>
          <w:szCs w:val="24"/>
        </w:rPr>
        <w:t>meet</w:t>
      </w:r>
      <w:r w:rsidR="009109AD">
        <w:rPr>
          <w:rFonts w:ascii="Times New Roman" w:hAnsi="Times New Roman" w:cs="Times New Roman"/>
          <w:sz w:val="24"/>
          <w:szCs w:val="24"/>
        </w:rPr>
        <w:t xml:space="preserve"> with the professor</w:t>
      </w:r>
      <w:r w:rsidR="00D43AB5">
        <w:rPr>
          <w:rFonts w:ascii="Times New Roman" w:hAnsi="Times New Roman" w:cs="Times New Roman"/>
          <w:sz w:val="24"/>
          <w:szCs w:val="24"/>
        </w:rPr>
        <w:t xml:space="preserve">, </w:t>
      </w:r>
      <w:r w:rsidR="009109AD">
        <w:rPr>
          <w:rFonts w:ascii="Times New Roman" w:hAnsi="Times New Roman" w:cs="Times New Roman"/>
          <w:sz w:val="24"/>
          <w:szCs w:val="24"/>
        </w:rPr>
        <w:t>select</w:t>
      </w:r>
      <w:r w:rsidR="00D43AB5">
        <w:rPr>
          <w:rFonts w:ascii="Times New Roman" w:hAnsi="Times New Roman" w:cs="Times New Roman"/>
          <w:sz w:val="24"/>
          <w:szCs w:val="24"/>
        </w:rPr>
        <w:t xml:space="preserve"> a</w:t>
      </w:r>
      <w:r w:rsidR="009109AD">
        <w:rPr>
          <w:rFonts w:ascii="Times New Roman" w:hAnsi="Times New Roman" w:cs="Times New Roman"/>
          <w:sz w:val="24"/>
          <w:szCs w:val="24"/>
        </w:rPr>
        <w:t xml:space="preserve"> topic, find the reading</w:t>
      </w:r>
      <w:r w:rsidR="00D43AB5">
        <w:rPr>
          <w:rFonts w:ascii="Times New Roman" w:hAnsi="Times New Roman" w:cs="Times New Roman"/>
          <w:sz w:val="24"/>
          <w:szCs w:val="24"/>
        </w:rPr>
        <w:t>s</w:t>
      </w:r>
      <w:r w:rsidR="00910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9AD">
        <w:rPr>
          <w:rFonts w:ascii="Times New Roman" w:hAnsi="Times New Roman" w:cs="Times New Roman"/>
          <w:sz w:val="24"/>
          <w:szCs w:val="24"/>
        </w:rPr>
        <w:t xml:space="preserve">and </w:t>
      </w:r>
      <w:r w:rsidR="00D43AB5">
        <w:rPr>
          <w:rFonts w:ascii="Times New Roman" w:hAnsi="Times New Roman" w:cs="Times New Roman"/>
          <w:sz w:val="24"/>
          <w:szCs w:val="24"/>
        </w:rPr>
        <w:t xml:space="preserve"> submit</w:t>
      </w:r>
      <w:proofErr w:type="gramEnd"/>
      <w:r w:rsidR="00D43AB5">
        <w:rPr>
          <w:rFonts w:ascii="Times New Roman" w:hAnsi="Times New Roman" w:cs="Times New Roman"/>
          <w:sz w:val="24"/>
          <w:szCs w:val="24"/>
        </w:rPr>
        <w:t xml:space="preserve"> the paper –outline to the professor. </w:t>
      </w:r>
      <w:r w:rsidR="0091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9AD" w:rsidRDefault="009109AD" w:rsidP="009109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6373" w:rsidRPr="00E6649B" w:rsidRDefault="00692DE5" w:rsidP="0051489C">
      <w:pPr>
        <w:jc w:val="left"/>
        <w:rPr>
          <w:rFonts w:ascii="Times New Roman" w:hAnsi="Times New Roman" w:cs="Times New Roman"/>
          <w:sz w:val="28"/>
          <w:szCs w:val="28"/>
        </w:rPr>
      </w:pPr>
      <w:r w:rsidRPr="00E6649B">
        <w:rPr>
          <w:rFonts w:ascii="Times New Roman" w:hAnsi="Times New Roman" w:cs="Times New Roman"/>
          <w:b/>
          <w:bCs/>
          <w:sz w:val="28"/>
          <w:szCs w:val="28"/>
          <w:u w:val="single"/>
        </w:rPr>
        <w:t>Schedule for paper#3</w:t>
      </w:r>
      <w:r w:rsidRPr="00E6649B">
        <w:rPr>
          <w:rFonts w:ascii="Times New Roman" w:hAnsi="Times New Roman" w:cs="Times New Roman"/>
          <w:sz w:val="28"/>
          <w:szCs w:val="28"/>
        </w:rPr>
        <w:t>:</w:t>
      </w:r>
    </w:p>
    <w:p w:rsidR="00694997" w:rsidRDefault="00694997" w:rsidP="005148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2DE5" w:rsidRDefault="00692DE5" w:rsidP="0071682A">
      <w:pPr>
        <w:jc w:val="left"/>
        <w:rPr>
          <w:rFonts w:ascii="Times New Roman" w:hAnsi="Times New Roman" w:cs="Times New Roman"/>
          <w:sz w:val="24"/>
          <w:szCs w:val="24"/>
        </w:rPr>
      </w:pPr>
      <w:r w:rsidRPr="00692DE5">
        <w:rPr>
          <w:rFonts w:ascii="Times New Roman" w:hAnsi="Times New Roman" w:cs="Times New Roman"/>
          <w:sz w:val="24"/>
          <w:szCs w:val="24"/>
        </w:rPr>
        <w:t xml:space="preserve">Topic selection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692DE5">
        <w:rPr>
          <w:rFonts w:ascii="Times New Roman" w:hAnsi="Times New Roman" w:cs="Times New Roman"/>
          <w:sz w:val="24"/>
          <w:szCs w:val="24"/>
        </w:rPr>
        <w:t>preliminary bibliography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1682A">
        <w:rPr>
          <w:rFonts w:ascii="Times New Roman" w:hAnsi="Times New Roman" w:cs="Times New Roman"/>
          <w:sz w:val="24"/>
          <w:szCs w:val="24"/>
        </w:rPr>
        <w:t>April 15</w:t>
      </w:r>
    </w:p>
    <w:p w:rsidR="00735227" w:rsidRDefault="00735227" w:rsidP="00692D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2DE5" w:rsidRDefault="00A77C44" w:rsidP="00483E0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discussion of paper</w:t>
      </w:r>
      <w:r w:rsidR="00692DE5">
        <w:rPr>
          <w:rFonts w:ascii="Times New Roman" w:hAnsi="Times New Roman" w:cs="Times New Roman"/>
          <w:sz w:val="24"/>
          <w:szCs w:val="24"/>
        </w:rPr>
        <w:t xml:space="preserve"> with the professor</w:t>
      </w:r>
      <w:r>
        <w:rPr>
          <w:rFonts w:ascii="Times New Roman" w:hAnsi="Times New Roman" w:cs="Times New Roman"/>
          <w:sz w:val="24"/>
          <w:szCs w:val="24"/>
        </w:rPr>
        <w:t xml:space="preserve"> the paper</w:t>
      </w:r>
      <w:r w:rsidR="00692DE5">
        <w:rPr>
          <w:rFonts w:ascii="Times New Roman" w:hAnsi="Times New Roman" w:cs="Times New Roman"/>
          <w:sz w:val="24"/>
          <w:szCs w:val="24"/>
        </w:rPr>
        <w:t xml:space="preserve"> </w:t>
      </w:r>
      <w:r w:rsidR="00D43AB5">
        <w:rPr>
          <w:rFonts w:ascii="Times New Roman" w:hAnsi="Times New Roman" w:cs="Times New Roman"/>
          <w:sz w:val="24"/>
          <w:szCs w:val="24"/>
        </w:rPr>
        <w:t xml:space="preserve">and a rough outline </w:t>
      </w:r>
      <w:r w:rsidR="00483E03">
        <w:rPr>
          <w:rFonts w:ascii="Times New Roman" w:hAnsi="Times New Roman" w:cs="Times New Roman"/>
          <w:sz w:val="24"/>
          <w:szCs w:val="24"/>
        </w:rPr>
        <w:t xml:space="preserve">- </w:t>
      </w:r>
      <w:r w:rsidR="00692DE5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71682A">
        <w:rPr>
          <w:rFonts w:ascii="Times New Roman" w:hAnsi="Times New Roman" w:cs="Times New Roman"/>
          <w:sz w:val="24"/>
          <w:szCs w:val="24"/>
        </w:rPr>
        <w:t>April 2</w:t>
      </w:r>
      <w:r w:rsidR="00483E03">
        <w:rPr>
          <w:rFonts w:ascii="Times New Roman" w:hAnsi="Times New Roman" w:cs="Times New Roman"/>
          <w:sz w:val="24"/>
          <w:szCs w:val="24"/>
        </w:rPr>
        <w:t>4</w:t>
      </w:r>
      <w:r w:rsidR="00375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82A" w:rsidRDefault="0071682A" w:rsidP="007168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682A" w:rsidRDefault="0071682A" w:rsidP="00483E0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</w:t>
      </w:r>
      <w:r w:rsidR="00483E03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5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14580">
        <w:rPr>
          <w:rFonts w:ascii="Times New Roman" w:hAnsi="Times New Roman" w:cs="Times New Roman"/>
          <w:sz w:val="24"/>
          <w:szCs w:val="24"/>
        </w:rPr>
        <w:t>recommended)</w:t>
      </w:r>
      <w:r w:rsidR="00483E03">
        <w:rPr>
          <w:rFonts w:ascii="Times New Roman" w:hAnsi="Times New Roman" w:cs="Times New Roman"/>
          <w:sz w:val="24"/>
          <w:szCs w:val="24"/>
        </w:rPr>
        <w:t xml:space="preserve"> – April 30</w:t>
      </w:r>
    </w:p>
    <w:p w:rsidR="00EC6FA9" w:rsidRDefault="00EC6FA9" w:rsidP="001F30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5ECE" w:rsidRDefault="00B75ECE" w:rsidP="00314580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Paper due: </w:t>
      </w:r>
      <w:r w:rsidR="00314580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>May 10</w:t>
      </w:r>
      <w:proofErr w:type="gramStart"/>
      <w:r w:rsidR="00314580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A77C44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</w:t>
      </w:r>
      <w:proofErr w:type="gramEnd"/>
      <w:r w:rsidR="00A77C44" w:rsidRPr="00314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5PM</w:t>
      </w:r>
    </w:p>
    <w:p w:rsidR="00A77C44" w:rsidRPr="00E6649B" w:rsidRDefault="00A77C44" w:rsidP="003A1D56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0466" w:rsidRPr="00810FCA" w:rsidRDefault="007D0466" w:rsidP="001F30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6C48" w:rsidRDefault="007413C5" w:rsidP="000D6C48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71F8">
        <w:rPr>
          <w:rFonts w:ascii="Times New Roman" w:hAnsi="Times New Roman" w:cs="Times New Roman"/>
          <w:b/>
          <w:bCs/>
          <w:sz w:val="28"/>
          <w:szCs w:val="28"/>
          <w:u w:val="single"/>
        </w:rPr>
        <w:t>Grading:</w:t>
      </w:r>
    </w:p>
    <w:p w:rsidR="005371F8" w:rsidRPr="005371F8" w:rsidRDefault="005371F8" w:rsidP="000D6C48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13C5" w:rsidRDefault="00A77C44" w:rsidP="007413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and </w:t>
      </w:r>
      <w:r w:rsidR="008A4474">
        <w:rPr>
          <w:rFonts w:ascii="Times New Roman" w:hAnsi="Times New Roman" w:cs="Times New Roman"/>
          <w:sz w:val="24"/>
          <w:szCs w:val="24"/>
        </w:rPr>
        <w:t>p</w:t>
      </w:r>
      <w:r w:rsidR="007413C5" w:rsidRPr="007413C5">
        <w:rPr>
          <w:rFonts w:ascii="Times New Roman" w:hAnsi="Times New Roman" w:cs="Times New Roman"/>
          <w:sz w:val="24"/>
          <w:szCs w:val="24"/>
        </w:rPr>
        <w:t>articipation</w:t>
      </w:r>
      <w:r w:rsidR="008A4474">
        <w:rPr>
          <w:rFonts w:ascii="Times New Roman" w:hAnsi="Times New Roman" w:cs="Times New Roman"/>
          <w:sz w:val="24"/>
          <w:szCs w:val="24"/>
        </w:rPr>
        <w:t>:</w:t>
      </w:r>
      <w:r w:rsidR="007413C5" w:rsidRPr="007413C5">
        <w:rPr>
          <w:rFonts w:ascii="Times New Roman" w:hAnsi="Times New Roman" w:cs="Times New Roman"/>
          <w:sz w:val="24"/>
          <w:szCs w:val="24"/>
        </w:rPr>
        <w:t xml:space="preserve">      </w:t>
      </w:r>
      <w:r w:rsidR="008A4474">
        <w:rPr>
          <w:rFonts w:ascii="Times New Roman" w:hAnsi="Times New Roman" w:cs="Times New Roman"/>
          <w:sz w:val="24"/>
          <w:szCs w:val="24"/>
        </w:rPr>
        <w:tab/>
      </w:r>
      <w:r w:rsidR="009109AD">
        <w:rPr>
          <w:rFonts w:ascii="Times New Roman" w:hAnsi="Times New Roman" w:cs="Times New Roman"/>
          <w:sz w:val="24"/>
          <w:szCs w:val="24"/>
        </w:rPr>
        <w:t>20</w:t>
      </w:r>
      <w:r w:rsidR="007413C5" w:rsidRPr="007413C5">
        <w:rPr>
          <w:rFonts w:ascii="Times New Roman" w:hAnsi="Times New Roman" w:cs="Times New Roman"/>
          <w:sz w:val="24"/>
          <w:szCs w:val="24"/>
        </w:rPr>
        <w:t>%</w:t>
      </w:r>
    </w:p>
    <w:p w:rsidR="006D1761" w:rsidRPr="007413C5" w:rsidRDefault="006D1761" w:rsidP="007413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6FA9" w:rsidRPr="006D1761" w:rsidRDefault="001A477A" w:rsidP="009109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="00EC6FA9" w:rsidRPr="006D1761">
        <w:rPr>
          <w:rFonts w:ascii="Times New Roman" w:hAnsi="Times New Roman" w:cs="Times New Roman"/>
          <w:sz w:val="24"/>
          <w:szCs w:val="24"/>
          <w:u w:val="single"/>
        </w:rPr>
        <w:t>Papers</w:t>
      </w:r>
      <w:r w:rsidR="00735227" w:rsidRPr="001A477A">
        <w:rPr>
          <w:rFonts w:ascii="Times New Roman" w:hAnsi="Times New Roman" w:cs="Times New Roman"/>
          <w:sz w:val="24"/>
          <w:szCs w:val="24"/>
        </w:rPr>
        <w:t xml:space="preserve">: </w:t>
      </w:r>
      <w:r w:rsidR="00EC6FA9" w:rsidRPr="001A477A">
        <w:rPr>
          <w:rFonts w:ascii="Times New Roman" w:hAnsi="Times New Roman" w:cs="Times New Roman"/>
          <w:sz w:val="24"/>
          <w:szCs w:val="24"/>
        </w:rPr>
        <w:t xml:space="preserve"> </w:t>
      </w:r>
      <w:r w:rsidRPr="001A477A">
        <w:rPr>
          <w:rFonts w:ascii="Times New Roman" w:hAnsi="Times New Roman" w:cs="Times New Roman"/>
          <w:sz w:val="24"/>
          <w:szCs w:val="24"/>
        </w:rPr>
        <w:tab/>
      </w:r>
      <w:r w:rsidRPr="001A477A">
        <w:rPr>
          <w:rFonts w:ascii="Times New Roman" w:hAnsi="Times New Roman" w:cs="Times New Roman"/>
          <w:sz w:val="24"/>
          <w:szCs w:val="24"/>
        </w:rPr>
        <w:tab/>
      </w:r>
      <w:r w:rsidRPr="001A477A">
        <w:rPr>
          <w:rFonts w:ascii="Times New Roman" w:hAnsi="Times New Roman" w:cs="Times New Roman"/>
          <w:sz w:val="24"/>
          <w:szCs w:val="24"/>
        </w:rPr>
        <w:tab/>
      </w:r>
      <w:r w:rsidR="009109AD">
        <w:rPr>
          <w:rFonts w:ascii="Times New Roman" w:hAnsi="Times New Roman" w:cs="Times New Roman"/>
          <w:sz w:val="24"/>
          <w:szCs w:val="24"/>
        </w:rPr>
        <w:t>80</w:t>
      </w:r>
      <w:r w:rsidRPr="001A477A">
        <w:rPr>
          <w:rFonts w:ascii="Times New Roman" w:hAnsi="Times New Roman" w:cs="Times New Roman"/>
          <w:sz w:val="24"/>
          <w:szCs w:val="24"/>
        </w:rPr>
        <w:t>%</w:t>
      </w:r>
    </w:p>
    <w:p w:rsidR="00EC6FA9" w:rsidRDefault="00EC6FA9" w:rsidP="0091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Paper#1</w:t>
      </w:r>
      <w:r w:rsidR="001A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109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C6FA9" w:rsidRDefault="00EC6FA9" w:rsidP="00910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</w:t>
      </w:r>
      <w:r w:rsidR="001A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9A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413C5" w:rsidRDefault="00EC6FA9" w:rsidP="00EC6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</w:t>
      </w:r>
      <w:r w:rsidR="009109AD">
        <w:rPr>
          <w:rFonts w:ascii="Times New Roman" w:hAnsi="Times New Roman" w:cs="Times New Roman"/>
          <w:sz w:val="24"/>
          <w:szCs w:val="24"/>
        </w:rPr>
        <w:t>( Final Paper)</w:t>
      </w:r>
      <w:r w:rsidR="001A477A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9109AD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5%</w:t>
      </w:r>
      <w:r w:rsidR="007413C5" w:rsidRPr="007413C5">
        <w:rPr>
          <w:rFonts w:ascii="Times New Roman" w:hAnsi="Times New Roman" w:cs="Times New Roman"/>
          <w:sz w:val="24"/>
          <w:szCs w:val="24"/>
        </w:rPr>
        <w:tab/>
      </w:r>
      <w:r w:rsidR="008A4474">
        <w:rPr>
          <w:rFonts w:ascii="Times New Roman" w:hAnsi="Times New Roman" w:cs="Times New Roman"/>
          <w:sz w:val="24"/>
          <w:szCs w:val="24"/>
        </w:rPr>
        <w:tab/>
      </w:r>
      <w:r w:rsidR="008A4474">
        <w:rPr>
          <w:rFonts w:ascii="Times New Roman" w:hAnsi="Times New Roman" w:cs="Times New Roman"/>
          <w:sz w:val="24"/>
          <w:szCs w:val="24"/>
        </w:rPr>
        <w:tab/>
      </w:r>
      <w:r w:rsidR="008A4474">
        <w:rPr>
          <w:rFonts w:ascii="Times New Roman" w:hAnsi="Times New Roman" w:cs="Times New Roman"/>
          <w:sz w:val="24"/>
          <w:szCs w:val="24"/>
        </w:rPr>
        <w:tab/>
      </w:r>
    </w:p>
    <w:p w:rsidR="006D1761" w:rsidRDefault="006D1761" w:rsidP="00EC6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77A" w:rsidRPr="007413C5" w:rsidRDefault="001A477A" w:rsidP="00EC6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B43" w:rsidRPr="00400618" w:rsidRDefault="007F6B43" w:rsidP="007413C5">
      <w:pPr>
        <w:jc w:val="both"/>
        <w:rPr>
          <w:rFonts w:ascii="Palatino Linotype" w:hAnsi="Palatino Linotype"/>
          <w:sz w:val="28"/>
          <w:szCs w:val="28"/>
        </w:rPr>
      </w:pPr>
    </w:p>
    <w:p w:rsidR="00B679E1" w:rsidRPr="00810FCA" w:rsidRDefault="007413C5" w:rsidP="008C028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3C5">
        <w:rPr>
          <w:rFonts w:ascii="Times New Roman" w:hAnsi="Times New Roman" w:cs="Times New Roman"/>
          <w:sz w:val="24"/>
          <w:szCs w:val="24"/>
        </w:rPr>
        <w:t xml:space="preserve"> </w:t>
      </w:r>
      <w:r w:rsidR="00B679E1" w:rsidRPr="00810FCA">
        <w:rPr>
          <w:rFonts w:ascii="Times New Roman" w:hAnsi="Times New Roman" w:cs="Times New Roman"/>
          <w:b/>
          <w:bCs/>
          <w:sz w:val="24"/>
          <w:szCs w:val="24"/>
          <w:u w:val="single"/>
        </w:rPr>
        <w:t>Weekly Schedule</w:t>
      </w:r>
    </w:p>
    <w:tbl>
      <w:tblPr>
        <w:tblW w:w="0" w:type="auto"/>
        <w:tblInd w:w="-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772"/>
      </w:tblGrid>
      <w:tr w:rsidR="000D6C48" w:rsidRPr="0091663E" w:rsidTr="0091663E">
        <w:trPr>
          <w:trHeight w:val="158"/>
        </w:trPr>
        <w:tc>
          <w:tcPr>
            <w:tcW w:w="780" w:type="dxa"/>
          </w:tcPr>
          <w:p w:rsidR="000D6C48" w:rsidRPr="0091663E" w:rsidRDefault="000D6C48" w:rsidP="00916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2" w:type="dxa"/>
          </w:tcPr>
          <w:p w:rsidR="000D6C48" w:rsidRPr="0091663E" w:rsidRDefault="000D6C48" w:rsidP="00916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D6C48" w:rsidRPr="0091663E" w:rsidTr="0091663E">
        <w:trPr>
          <w:trHeight w:val="151"/>
        </w:trPr>
        <w:tc>
          <w:tcPr>
            <w:tcW w:w="780" w:type="dxa"/>
          </w:tcPr>
          <w:p w:rsidR="000D6C48" w:rsidRPr="0091663E" w:rsidRDefault="000D6C48" w:rsidP="0091663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772" w:type="dxa"/>
          </w:tcPr>
          <w:p w:rsidR="000D6C48" w:rsidRPr="0091663E" w:rsidRDefault="000D6C48" w:rsidP="0091663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</w:tr>
    </w:tbl>
    <w:p w:rsidR="007D2AF5" w:rsidRPr="00AB5577" w:rsidRDefault="00613917" w:rsidP="00A23B6D">
      <w:pPr>
        <w:jc w:val="center"/>
        <w:rPr>
          <w:rFonts w:ascii="Lucida Handwriting" w:hAnsi="Lucida Handwriting" w:cs="Times New Roman"/>
          <w:b/>
          <w:bCs/>
          <w:sz w:val="36"/>
          <w:szCs w:val="36"/>
        </w:rPr>
      </w:pPr>
      <w:r w:rsidRPr="00AB5577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 xml:space="preserve">Part I: </w:t>
      </w:r>
      <w:r w:rsidR="002A0628" w:rsidRPr="00AB5577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>The Formative Decades</w:t>
      </w:r>
      <w:r w:rsidRPr="00AB5577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 xml:space="preserve"> -</w:t>
      </w:r>
      <w:r w:rsidR="007D2AF5" w:rsidRPr="00AB5577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 xml:space="preserve"> 1948-19</w:t>
      </w:r>
      <w:r w:rsidR="004F3B08" w:rsidRPr="00AB5577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>67</w:t>
      </w:r>
    </w:p>
    <w:p w:rsidR="00AB6DA4" w:rsidRPr="00AB6DA4" w:rsidRDefault="00AB6DA4" w:rsidP="00A23B6D">
      <w:pPr>
        <w:jc w:val="center"/>
        <w:rPr>
          <w:rFonts w:ascii="Lucida Handwriting" w:hAnsi="Lucida Handwriting" w:cs="Times New Roman"/>
          <w:b/>
          <w:bCs/>
          <w:sz w:val="36"/>
          <w:szCs w:val="36"/>
          <w:u w:val="single"/>
        </w:rPr>
      </w:pPr>
    </w:p>
    <w:p w:rsidR="004638CE" w:rsidRPr="00810FCA" w:rsidRDefault="004638CE" w:rsidP="000D6C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C3F4A" w:rsidRPr="00AB6DA4" w:rsidRDefault="00AB6DA4" w:rsidP="00D67E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lastRenderedPageBreak/>
        <w:t xml:space="preserve">January </w:t>
      </w:r>
      <w:proofErr w:type="gramStart"/>
      <w:r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27 </w:t>
      </w:r>
      <w:r w:rsidR="002D40C8"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:</w:t>
      </w:r>
      <w:proofErr w:type="gramEnd"/>
      <w:r w:rsidR="002D40C8"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692DE5"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Introduction</w:t>
      </w:r>
      <w:r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: </w:t>
      </w:r>
      <w:r w:rsidR="002D40C8" w:rsidRPr="00AB6DA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D67E74" w:rsidRPr="00D67E7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From Herzl to the Balfour Declaration</w:t>
      </w:r>
      <w:r w:rsidR="00D67E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C2DF6" w:rsidRDefault="00BC2DF6" w:rsidP="005F0A7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56B76" w:rsidRPr="00810FCA" w:rsidRDefault="00596E34" w:rsidP="00DF4B55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Sources</w:t>
      </w:r>
      <w:r w:rsidRPr="00810F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6B76" w:rsidRDefault="00DF4B55" w:rsidP="00456B7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Theodor Herzl, “A Solution of the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Jewish Question”, January 17, 1896</w:t>
      </w:r>
      <w:r w:rsidR="00456B76" w:rsidRPr="00810FCA">
        <w:rPr>
          <w:rFonts w:ascii="Times New Roman" w:hAnsi="Times New Roman" w:cs="Times New Roman"/>
          <w:sz w:val="24"/>
          <w:szCs w:val="24"/>
        </w:rPr>
        <w:t>, Itamar Rabinowitz &amp;</w:t>
      </w:r>
      <w:r w:rsidR="00D60AFA">
        <w:rPr>
          <w:rFonts w:ascii="Times New Roman" w:hAnsi="Times New Roman" w:cs="Times New Roman"/>
          <w:sz w:val="24"/>
          <w:szCs w:val="24"/>
        </w:rPr>
        <w:t xml:space="preserve"> </w:t>
      </w:r>
      <w:r w:rsidR="00456B76" w:rsidRPr="00810FCA">
        <w:rPr>
          <w:rFonts w:ascii="Times New Roman" w:hAnsi="Times New Roman" w:cs="Times New Roman"/>
          <w:sz w:val="24"/>
          <w:szCs w:val="24"/>
        </w:rPr>
        <w:t xml:space="preserve">Jehuda Reinhartz, </w:t>
      </w:r>
      <w:r w:rsidR="00456B76"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Israel in </w:t>
      </w:r>
      <w:r w:rsidR="007D0466">
        <w:rPr>
          <w:rFonts w:ascii="Times New Roman" w:hAnsi="Times New Roman" w:cs="Times New Roman"/>
          <w:i/>
          <w:iCs/>
          <w:sz w:val="24"/>
          <w:szCs w:val="24"/>
        </w:rPr>
        <w:t>the Middle East, Documents and R</w:t>
      </w:r>
      <w:r w:rsidR="00456B76"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eadings on </w:t>
      </w:r>
      <w:r w:rsidR="00A77C44">
        <w:rPr>
          <w:rFonts w:ascii="Times New Roman" w:hAnsi="Times New Roman" w:cs="Times New Roman"/>
          <w:i/>
          <w:iCs/>
          <w:sz w:val="24"/>
          <w:szCs w:val="24"/>
        </w:rPr>
        <w:t>Society, Politics, and Foreign R</w:t>
      </w:r>
      <w:r w:rsidR="00456B76" w:rsidRPr="00810FCA">
        <w:rPr>
          <w:rFonts w:ascii="Times New Roman" w:hAnsi="Times New Roman" w:cs="Times New Roman"/>
          <w:i/>
          <w:iCs/>
          <w:sz w:val="24"/>
          <w:szCs w:val="24"/>
        </w:rPr>
        <w:t>elations, Pre 1948 to the Present,</w:t>
      </w:r>
      <w:r w:rsidR="00456B76" w:rsidRPr="00810FCA">
        <w:rPr>
          <w:rFonts w:ascii="Times New Roman" w:hAnsi="Times New Roman" w:cs="Times New Roman"/>
          <w:sz w:val="24"/>
          <w:szCs w:val="24"/>
        </w:rPr>
        <w:t xml:space="preserve"> Brandeis University Press, Waltham Ma, 2008, pp.16-20</w:t>
      </w:r>
      <w:r w:rsidR="00BC2DF6">
        <w:rPr>
          <w:rFonts w:ascii="Times New Roman" w:hAnsi="Times New Roman" w:cs="Times New Roman"/>
          <w:sz w:val="24"/>
          <w:szCs w:val="24"/>
        </w:rPr>
        <w:t>.</w:t>
      </w:r>
    </w:p>
    <w:p w:rsidR="006F37B1" w:rsidRDefault="007D0466" w:rsidP="006F37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F4B55" w:rsidRPr="00810FCA">
        <w:rPr>
          <w:rFonts w:ascii="Times New Roman" w:hAnsi="Times New Roman" w:cs="Times New Roman"/>
          <w:sz w:val="24"/>
          <w:szCs w:val="24"/>
        </w:rPr>
        <w:t xml:space="preserve"> First Zionist Congress, “The Basle </w:t>
      </w:r>
      <w:r w:rsidR="00262240">
        <w:rPr>
          <w:rFonts w:ascii="Times New Roman" w:hAnsi="Times New Roman" w:cs="Times New Roman"/>
          <w:sz w:val="24"/>
          <w:szCs w:val="24"/>
        </w:rPr>
        <w:t>Program</w:t>
      </w:r>
      <w:proofErr w:type="gramStart"/>
      <w:r w:rsidR="00262240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="00DF4B55" w:rsidRPr="00810FCA">
        <w:rPr>
          <w:rFonts w:ascii="Times New Roman" w:hAnsi="Times New Roman" w:cs="Times New Roman"/>
          <w:sz w:val="24"/>
          <w:szCs w:val="24"/>
        </w:rPr>
        <w:t xml:space="preserve"> August 31, 1897</w:t>
      </w:r>
      <w:r w:rsidR="006F37B1">
        <w:rPr>
          <w:rFonts w:ascii="Times New Roman" w:hAnsi="Times New Roman" w:cs="Times New Roman"/>
          <w:sz w:val="24"/>
          <w:szCs w:val="24"/>
        </w:rPr>
        <w:t xml:space="preserve">, </w:t>
      </w:r>
      <w:r w:rsidR="006F37B1" w:rsidRPr="00810FCA">
        <w:rPr>
          <w:rFonts w:ascii="Times New Roman" w:hAnsi="Times New Roman" w:cs="Times New Roman"/>
          <w:sz w:val="24"/>
          <w:szCs w:val="24"/>
        </w:rPr>
        <w:t>Rabinowitz &amp; Reinhartz</w:t>
      </w:r>
      <w:r w:rsidR="00A77C44">
        <w:rPr>
          <w:rFonts w:ascii="Times New Roman" w:hAnsi="Times New Roman" w:cs="Times New Roman"/>
          <w:sz w:val="24"/>
          <w:szCs w:val="24"/>
        </w:rPr>
        <w:t>, p. 21.</w:t>
      </w:r>
    </w:p>
    <w:p w:rsidR="00D67E74" w:rsidRPr="00810FCA" w:rsidRDefault="00D67E74" w:rsidP="00D67E74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Lord Balf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0FCA">
        <w:rPr>
          <w:rFonts w:ascii="Times New Roman" w:hAnsi="Times New Roman" w:cs="Times New Roman"/>
          <w:sz w:val="24"/>
          <w:szCs w:val="24"/>
        </w:rPr>
        <w:t>ur, “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0FCA">
        <w:rPr>
          <w:rFonts w:ascii="Times New Roman" w:hAnsi="Times New Roman" w:cs="Times New Roman"/>
          <w:sz w:val="24"/>
          <w:szCs w:val="24"/>
        </w:rPr>
        <w:t>Balf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0FCA">
        <w:rPr>
          <w:rFonts w:ascii="Times New Roman" w:hAnsi="Times New Roman" w:cs="Times New Roman"/>
          <w:sz w:val="24"/>
          <w:szCs w:val="24"/>
        </w:rPr>
        <w:t xml:space="preserve">ur Declaration”, November 2, 1917,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810FCA">
        <w:rPr>
          <w:rFonts w:ascii="Times New Roman" w:hAnsi="Times New Roman" w:cs="Times New Roman"/>
          <w:sz w:val="24"/>
          <w:szCs w:val="24"/>
        </w:rPr>
        <w:t>Reinhartz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FCA">
        <w:rPr>
          <w:rFonts w:ascii="Times New Roman" w:hAnsi="Times New Roman" w:cs="Times New Roman"/>
          <w:sz w:val="24"/>
          <w:szCs w:val="24"/>
        </w:rPr>
        <w:t xml:space="preserve"> pp. 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29.</w:t>
      </w:r>
    </w:p>
    <w:p w:rsidR="00FF1970" w:rsidRDefault="00FF1970" w:rsidP="00DF4B5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A56E2" w:rsidRPr="00810FCA" w:rsidRDefault="00456B76" w:rsidP="00DF4B5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</w:t>
      </w:r>
    </w:p>
    <w:p w:rsidR="00AB6DA4" w:rsidRDefault="00AB6DA4" w:rsidP="003530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Shapira. </w:t>
      </w:r>
      <w:r w:rsidRPr="00836A08">
        <w:rPr>
          <w:rFonts w:ascii="Times New Roman" w:hAnsi="Times New Roman" w:cs="Times New Roman"/>
          <w:i/>
          <w:iCs/>
          <w:sz w:val="24"/>
          <w:szCs w:val="24"/>
        </w:rPr>
        <w:t>Israel A History</w:t>
      </w:r>
      <w:r>
        <w:rPr>
          <w:rFonts w:ascii="Times New Roman" w:hAnsi="Times New Roman" w:cs="Times New Roman"/>
          <w:sz w:val="24"/>
          <w:szCs w:val="24"/>
        </w:rPr>
        <w:t xml:space="preserve">, Brandeis University Press, 2012, pp. </w:t>
      </w:r>
      <w:r w:rsidR="00836A08">
        <w:rPr>
          <w:rFonts w:ascii="Times New Roman" w:hAnsi="Times New Roman" w:cs="Times New Roman"/>
          <w:sz w:val="24"/>
          <w:szCs w:val="24"/>
        </w:rPr>
        <w:t>1-67.</w:t>
      </w:r>
    </w:p>
    <w:p w:rsidR="00353072" w:rsidRDefault="00353072" w:rsidP="00353072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B557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The Making of Modern Zionism,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CE">
        <w:rPr>
          <w:rFonts w:ascii="Times New Roman" w:hAnsi="Times New Roman" w:cs="Times New Roman"/>
          <w:sz w:val="24"/>
          <w:szCs w:val="24"/>
        </w:rPr>
        <w:t>Basic 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1981, pp. 88-100.</w:t>
      </w:r>
    </w:p>
    <w:p w:rsidR="00D67E74" w:rsidRPr="00353072" w:rsidRDefault="00D67E74" w:rsidP="0035307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5227" w:rsidRDefault="00735227" w:rsidP="000D6C4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88" w:rsidRPr="00345321" w:rsidRDefault="002C461F" w:rsidP="00D67E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February </w:t>
      </w:r>
      <w:proofErr w:type="gramStart"/>
      <w:r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3 :</w:t>
      </w:r>
      <w:proofErr w:type="gramEnd"/>
      <w:r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836A08"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The “</w:t>
      </w:r>
      <w:proofErr w:type="spellStart"/>
      <w:r w:rsidR="00836A08"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Yishuv</w:t>
      </w:r>
      <w:proofErr w:type="spellEnd"/>
      <w:r w:rsidR="00836A08"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” (Pre-State Israel): A Jewish State </w:t>
      </w:r>
      <w:r w:rsid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B</w:t>
      </w:r>
      <w:r w:rsidR="00836A08" w:rsidRPr="0034532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efore the State</w:t>
      </w:r>
    </w:p>
    <w:p w:rsidR="00A77C44" w:rsidRDefault="00A77C44" w:rsidP="00DF4B5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5" w:rsidRPr="00A77C44" w:rsidRDefault="007768F5" w:rsidP="00DF4B55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7C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Source: </w:t>
      </w:r>
    </w:p>
    <w:p w:rsidR="007768F5" w:rsidRDefault="007768F5" w:rsidP="007768F5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Malcolm MacDonald, “White Paper”, May 17, 1939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FCA">
        <w:rPr>
          <w:rFonts w:ascii="Times New Roman" w:hAnsi="Times New Roman" w:cs="Times New Roman"/>
          <w:sz w:val="24"/>
          <w:szCs w:val="24"/>
        </w:rPr>
        <w:t xml:space="preserve">Rabinowitz &amp; Reinhartz, pp. </w:t>
      </w:r>
      <w:r>
        <w:rPr>
          <w:rFonts w:ascii="Times New Roman" w:hAnsi="Times New Roman" w:cs="Times New Roman"/>
          <w:sz w:val="24"/>
          <w:szCs w:val="24"/>
        </w:rPr>
        <w:t>48-53</w:t>
      </w:r>
    </w:p>
    <w:p w:rsidR="00BD4A4E" w:rsidRDefault="00BD4A4E" w:rsidP="00DF4B55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768F5" w:rsidRPr="00A77C44" w:rsidRDefault="00D67E74" w:rsidP="00DF4B55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="007768F5" w:rsidRPr="00A77C44">
        <w:rPr>
          <w:rFonts w:ascii="Times New Roman" w:hAnsi="Times New Roman" w:cs="Times New Roman"/>
          <w:bCs/>
          <w:sz w:val="24"/>
          <w:szCs w:val="24"/>
          <w:u w:val="single"/>
        </w:rPr>
        <w:t>eading:</w:t>
      </w:r>
    </w:p>
    <w:p w:rsidR="007D4D89" w:rsidRPr="007D4D89" w:rsidRDefault="002F61B1" w:rsidP="002F61B1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24"/>
          <w:szCs w:val="24"/>
        </w:rPr>
      </w:pPr>
      <w:r w:rsidRPr="00E80DE0">
        <w:rPr>
          <w:rFonts w:asciiTheme="majorBidi" w:hAnsiTheme="majorBidi" w:cstheme="majorBidi"/>
          <w:sz w:val="24"/>
          <w:szCs w:val="24"/>
        </w:rPr>
        <w:t xml:space="preserve">Tom </w:t>
      </w:r>
      <w:proofErr w:type="spellStart"/>
      <w:r w:rsidRPr="00E80DE0">
        <w:rPr>
          <w:rFonts w:asciiTheme="majorBidi" w:hAnsiTheme="majorBidi" w:cstheme="majorBidi"/>
          <w:sz w:val="24"/>
          <w:szCs w:val="24"/>
        </w:rPr>
        <w:t>Segev</w:t>
      </w:r>
      <w:proofErr w:type="spellEnd"/>
      <w:r w:rsidRPr="00E80DE0">
        <w:rPr>
          <w:rFonts w:asciiTheme="majorBidi" w:hAnsiTheme="majorBidi" w:cstheme="majorBidi"/>
          <w:sz w:val="24"/>
          <w:szCs w:val="24"/>
        </w:rPr>
        <w:t xml:space="preserve">, </w:t>
      </w:r>
      <w:r w:rsidRPr="00E80DE0">
        <w:rPr>
          <w:rFonts w:asciiTheme="majorBidi" w:hAnsiTheme="majorBidi" w:cstheme="majorBidi"/>
          <w:i/>
          <w:iCs/>
          <w:sz w:val="24"/>
          <w:szCs w:val="24"/>
        </w:rPr>
        <w:t>One Palestine, Complete</w:t>
      </w:r>
      <w:r w:rsidRPr="00E80DE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0DE0">
        <w:rPr>
          <w:rFonts w:asciiTheme="majorBidi" w:hAnsiTheme="majorBidi" w:cstheme="majorBidi"/>
          <w:i/>
          <w:iCs/>
          <w:sz w:val="24"/>
          <w:szCs w:val="24"/>
        </w:rPr>
        <w:t>Jews and Arabs Under British Mandate</w:t>
      </w:r>
      <w:r>
        <w:rPr>
          <w:rFonts w:asciiTheme="majorBidi" w:hAnsiTheme="majorBidi" w:cstheme="majorBidi"/>
          <w:sz w:val="24"/>
          <w:szCs w:val="24"/>
        </w:rPr>
        <w:t>,</w:t>
      </w:r>
      <w:r w:rsidRPr="00E80D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Metropolis Book 2000</w:t>
      </w:r>
      <w:proofErr w:type="gramStart"/>
      <w:r w:rsidR="007D4D89" w:rsidRPr="007D4D8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pp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="001F2144">
        <w:rPr>
          <w:rFonts w:asciiTheme="majorBidi" w:hAnsiTheme="majorBidi" w:cstheme="majorBidi"/>
          <w:sz w:val="24"/>
          <w:szCs w:val="24"/>
        </w:rPr>
        <w:t xml:space="preserve"> </w:t>
      </w:r>
      <w:r w:rsidR="007D4D89" w:rsidRPr="007D4D89">
        <w:rPr>
          <w:rFonts w:asciiTheme="majorBidi" w:hAnsiTheme="majorBidi" w:cstheme="majorBidi"/>
          <w:sz w:val="24"/>
          <w:szCs w:val="24"/>
        </w:rPr>
        <w:t>447-511</w:t>
      </w:r>
    </w:p>
    <w:p w:rsidR="0037429E" w:rsidRDefault="00D67E74" w:rsidP="00DF4B5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7E74">
        <w:rPr>
          <w:rFonts w:ascii="Times New Roman" w:hAnsi="Times New Roman" w:cs="Times New Roman"/>
          <w:i/>
          <w:iCs/>
          <w:sz w:val="24"/>
          <w:szCs w:val="24"/>
        </w:rPr>
        <w:t>Israel  A</w:t>
      </w:r>
      <w:proofErr w:type="gramEnd"/>
      <w:r w:rsidRPr="00D67E74">
        <w:rPr>
          <w:rFonts w:ascii="Times New Roman" w:hAnsi="Times New Roman" w:cs="Times New Roman"/>
          <w:i/>
          <w:iCs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>, pp. 103-133.</w:t>
      </w:r>
    </w:p>
    <w:p w:rsidR="00BD4A4E" w:rsidRPr="00D67E74" w:rsidRDefault="00BD4A4E" w:rsidP="00DF4B5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5227" w:rsidRPr="00D67E74" w:rsidRDefault="00735227" w:rsidP="00DF4B55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97FEA" w:rsidRPr="00BD4A4E" w:rsidRDefault="00BD4A4E" w:rsidP="00A23B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4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February 10</w:t>
      </w:r>
      <w:r w:rsidR="005A7D5B" w:rsidRPr="00BD4A4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:</w:t>
      </w:r>
      <w:r w:rsidR="005A7D5B" w:rsidRPr="00BD4A4E">
        <w:rPr>
          <w:rFonts w:ascii="Times New Roman" w:hAnsi="Times New Roman" w:cs="Times New Roman" w:hint="cs"/>
          <w:b/>
          <w:bCs/>
          <w:sz w:val="32"/>
          <w:szCs w:val="32"/>
          <w:highlight w:val="lightGray"/>
          <w:rtl/>
        </w:rPr>
        <w:t xml:space="preserve">  </w:t>
      </w:r>
      <w:r w:rsidR="000C56C3" w:rsidRPr="00BD4A4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Building</w:t>
      </w:r>
      <w:r w:rsidR="00456B76" w:rsidRPr="00BD4A4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a Nation</w:t>
      </w:r>
    </w:p>
    <w:p w:rsidR="005F5329" w:rsidRDefault="005F5329" w:rsidP="000D6C48">
      <w:pPr>
        <w:ind w:left="-90" w:firstLine="9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56B76" w:rsidRDefault="003B76AF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</w:t>
      </w:r>
      <w:r w:rsidR="00EA1103" w:rsidRPr="00810FCA">
        <w:rPr>
          <w:rFonts w:ascii="Times New Roman" w:hAnsi="Times New Roman" w:cs="Times New Roman"/>
          <w:sz w:val="24"/>
          <w:szCs w:val="24"/>
        </w:rPr>
        <w:t>:</w:t>
      </w:r>
    </w:p>
    <w:p w:rsidR="00BD4A4E" w:rsidRPr="00FF1970" w:rsidRDefault="00BD4A4E" w:rsidP="00BD4A4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United Nations General Assembly, “Res</w:t>
      </w:r>
      <w:r>
        <w:rPr>
          <w:rFonts w:ascii="Times New Roman" w:hAnsi="Times New Roman" w:cs="Times New Roman"/>
          <w:sz w:val="24"/>
          <w:szCs w:val="24"/>
        </w:rPr>
        <w:t>olution 181,” November 29, 1947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proofErr w:type="gramEnd"/>
      <w:r w:rsidRPr="00810F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Reinhartz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>,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61-62.</w:t>
      </w:r>
    </w:p>
    <w:p w:rsidR="00BD4A4E" w:rsidRDefault="00BD4A4E" w:rsidP="00BD4A4E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“The Proclamation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0FCA">
        <w:rPr>
          <w:rFonts w:ascii="Times New Roman" w:hAnsi="Times New Roman" w:cs="Times New Roman"/>
          <w:sz w:val="24"/>
          <w:szCs w:val="24"/>
        </w:rPr>
        <w:t xml:space="preserve">tate of Israel”, May 14, 1948,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Reinhartz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>, pp.72-73</w:t>
      </w:r>
    </w:p>
    <w:p w:rsidR="00BD4A4E" w:rsidRDefault="00BD4A4E" w:rsidP="00BD4A4E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F5329" w:rsidRDefault="005F5329" w:rsidP="005F5329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CF142C" w:rsidRPr="00810FCA" w:rsidRDefault="00F96061" w:rsidP="005F5329">
      <w:pPr>
        <w:ind w:left="-90" w:firstLine="9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954E94" w:rsidRDefault="00954E94" w:rsidP="00954E94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Dan Horowitz and Moshe Lissak,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Origins of Israeli Polity: Palestine under the Mandate. </w:t>
      </w:r>
      <w:r w:rsidRPr="00810FCA">
        <w:rPr>
          <w:rFonts w:ascii="Times New Roman" w:hAnsi="Times New Roman" w:cs="Times New Roman"/>
          <w:sz w:val="24"/>
          <w:szCs w:val="24"/>
        </w:rPr>
        <w:t xml:space="preserve"> Chicago, University of Chicago Press, 1987. pp. 187-213</w:t>
      </w:r>
    </w:p>
    <w:p w:rsidR="00231B61" w:rsidRDefault="00231B61" w:rsidP="00A77C44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Dan Horowitz and Moshe Lissak,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>Trouble in Utopia: the Overburdened Polity of Israel</w:t>
      </w:r>
      <w:r w:rsidR="00A77C44">
        <w:rPr>
          <w:rFonts w:ascii="Times New Roman" w:hAnsi="Times New Roman" w:cs="Times New Roman"/>
          <w:sz w:val="24"/>
          <w:szCs w:val="24"/>
        </w:rPr>
        <w:t xml:space="preserve">, Albany: SUNY </w:t>
      </w:r>
      <w:r>
        <w:rPr>
          <w:rFonts w:ascii="Times New Roman" w:hAnsi="Times New Roman" w:cs="Times New Roman"/>
          <w:sz w:val="24"/>
          <w:szCs w:val="24"/>
        </w:rPr>
        <w:t>Press, pp. 1-31.</w:t>
      </w:r>
    </w:p>
    <w:p w:rsidR="005F5329" w:rsidRDefault="00BD4A4E" w:rsidP="00AC02D9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D4A4E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History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Israel </w:t>
      </w:r>
      <w:r w:rsidR="00352551">
        <w:rPr>
          <w:rFonts w:ascii="Times New Roman" w:hAnsi="Times New Roman" w:cs="Times New Roman"/>
          <w:sz w:val="24"/>
          <w:szCs w:val="24"/>
        </w:rPr>
        <w:t xml:space="preserve">pp. </w:t>
      </w:r>
      <w:r w:rsidR="0031756A">
        <w:rPr>
          <w:rFonts w:ascii="Times New Roman" w:hAnsi="Times New Roman" w:cs="Times New Roman"/>
          <w:sz w:val="24"/>
          <w:szCs w:val="24"/>
        </w:rPr>
        <w:t>179-222</w:t>
      </w:r>
    </w:p>
    <w:p w:rsidR="0031756A" w:rsidRDefault="0031756A" w:rsidP="00AC02D9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31756A" w:rsidRPr="00352551" w:rsidRDefault="0031756A" w:rsidP="00AC02D9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AC02D9" w:rsidRDefault="0031756A" w:rsidP="0031756A">
      <w:pPr>
        <w:ind w:left="-90" w:firstLine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A4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lastRenderedPageBreak/>
        <w:t xml:space="preserve">February </w:t>
      </w:r>
      <w:r w:rsidRPr="003175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17: No Class - long weekend</w:t>
      </w:r>
    </w:p>
    <w:p w:rsidR="0031756A" w:rsidRDefault="0031756A" w:rsidP="0031756A">
      <w:pPr>
        <w:ind w:left="-90" w:firstLine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A328B" w:rsidRPr="0068680F" w:rsidRDefault="0031756A" w:rsidP="00803BCA">
      <w:pPr>
        <w:ind w:left="-90" w:firstLine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February</w:t>
      </w:r>
      <w:r w:rsidR="0068680F"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24: </w:t>
      </w:r>
      <w:r w:rsidR="00231B61"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EA328B"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The Mass I</w:t>
      </w:r>
      <w:r w:rsidR="00B17808"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mmigration and the Absorption of the Immigrants.</w:t>
      </w:r>
      <w:r w:rsidR="00EA328B" w:rsidRPr="0068680F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(“Aliya”)</w:t>
      </w:r>
    </w:p>
    <w:p w:rsidR="00231B61" w:rsidRDefault="00231B61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80287" w:rsidRDefault="00180287" w:rsidP="000D6C48">
      <w:pPr>
        <w:ind w:left="-90" w:firstLine="9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31B61" w:rsidRDefault="00180287" w:rsidP="00A23B6D">
      <w:pPr>
        <w:ind w:left="-90" w:firstLine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287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#1 due today</w:t>
      </w:r>
      <w:r w:rsidR="00311C5B">
        <w:rPr>
          <w:rFonts w:ascii="Times New Roman" w:hAnsi="Times New Roman" w:cs="Times New Roman"/>
          <w:b/>
          <w:bCs/>
          <w:sz w:val="24"/>
          <w:szCs w:val="24"/>
          <w:u w:val="single"/>
        </w:rPr>
        <w:t>, 5pm</w:t>
      </w:r>
    </w:p>
    <w:p w:rsidR="00180287" w:rsidRDefault="00180287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7527DF" w:rsidRPr="00810FCA" w:rsidRDefault="00B608D0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</w:t>
      </w:r>
      <w:r w:rsidR="007527DF" w:rsidRPr="00810FC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10FCA">
        <w:rPr>
          <w:rFonts w:ascii="Times New Roman" w:hAnsi="Times New Roman" w:cs="Times New Roman"/>
          <w:sz w:val="24"/>
          <w:szCs w:val="24"/>
        </w:rPr>
        <w:t>:</w:t>
      </w:r>
    </w:p>
    <w:p w:rsidR="00B608D0" w:rsidRPr="00810FCA" w:rsidRDefault="00442A28" w:rsidP="00E47941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“</w:t>
      </w:r>
      <w:r w:rsidR="00B608D0" w:rsidRPr="00810FCA">
        <w:rPr>
          <w:rFonts w:ascii="Times New Roman" w:hAnsi="Times New Roman" w:cs="Times New Roman"/>
          <w:sz w:val="24"/>
          <w:szCs w:val="24"/>
        </w:rPr>
        <w:t>The Law of Return</w:t>
      </w:r>
      <w:r w:rsidRPr="00810FCA">
        <w:rPr>
          <w:rFonts w:ascii="Times New Roman" w:hAnsi="Times New Roman" w:cs="Times New Roman"/>
          <w:sz w:val="24"/>
          <w:szCs w:val="24"/>
        </w:rPr>
        <w:t>”</w:t>
      </w:r>
      <w:r w:rsidR="00B608D0" w:rsidRPr="00810FCA">
        <w:rPr>
          <w:rFonts w:ascii="Times New Roman" w:hAnsi="Times New Roman" w:cs="Times New Roman"/>
          <w:sz w:val="24"/>
          <w:szCs w:val="24"/>
        </w:rPr>
        <w:t xml:space="preserve">, </w:t>
      </w:r>
      <w:r w:rsidR="005F47AC" w:rsidRPr="00810FCA">
        <w:rPr>
          <w:rFonts w:ascii="Times New Roman" w:hAnsi="Times New Roman" w:cs="Times New Roman"/>
          <w:sz w:val="24"/>
          <w:szCs w:val="24"/>
        </w:rPr>
        <w:t>July 5, 1950, Rabinowitz &amp;Reinhartz, p</w:t>
      </w:r>
      <w:r w:rsidR="00D60AFA">
        <w:rPr>
          <w:rFonts w:ascii="Times New Roman" w:hAnsi="Times New Roman" w:cs="Times New Roman"/>
          <w:sz w:val="24"/>
          <w:szCs w:val="24"/>
        </w:rPr>
        <w:t>p</w:t>
      </w:r>
      <w:r w:rsidR="005F47AC" w:rsidRPr="00810FCA">
        <w:rPr>
          <w:rFonts w:ascii="Times New Roman" w:hAnsi="Times New Roman" w:cs="Times New Roman"/>
          <w:sz w:val="24"/>
          <w:szCs w:val="24"/>
        </w:rPr>
        <w:t>. 102</w:t>
      </w:r>
      <w:r w:rsidR="007527DF" w:rsidRPr="00810FCA">
        <w:rPr>
          <w:rFonts w:ascii="Times New Roman" w:hAnsi="Times New Roman" w:cs="Times New Roman"/>
          <w:sz w:val="24"/>
          <w:szCs w:val="24"/>
        </w:rPr>
        <w:t>-103</w:t>
      </w:r>
      <w:r w:rsidR="005F47AC" w:rsidRPr="00810FCA">
        <w:rPr>
          <w:rFonts w:ascii="Times New Roman" w:hAnsi="Times New Roman" w:cs="Times New Roman"/>
          <w:sz w:val="24"/>
          <w:szCs w:val="24"/>
        </w:rPr>
        <w:t>.</w:t>
      </w:r>
    </w:p>
    <w:p w:rsidR="0068680F" w:rsidRDefault="00442A28" w:rsidP="0068680F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80F" w:rsidRPr="00810FCA">
        <w:rPr>
          <w:rFonts w:ascii="Times New Roman" w:hAnsi="Times New Roman" w:cs="Times New Roman"/>
          <w:sz w:val="24"/>
          <w:szCs w:val="24"/>
        </w:rPr>
        <w:t>Giora</w:t>
      </w:r>
      <w:proofErr w:type="spellEnd"/>
      <w:r w:rsidR="0068680F" w:rsidRPr="00810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80F" w:rsidRPr="00810FCA">
        <w:rPr>
          <w:rFonts w:ascii="Times New Roman" w:hAnsi="Times New Roman" w:cs="Times New Roman"/>
          <w:sz w:val="24"/>
          <w:szCs w:val="24"/>
        </w:rPr>
        <w:t>Josephtal</w:t>
      </w:r>
      <w:proofErr w:type="spellEnd"/>
      <w:r w:rsidR="0068680F" w:rsidRPr="00810FCA">
        <w:rPr>
          <w:rFonts w:ascii="Times New Roman" w:hAnsi="Times New Roman" w:cs="Times New Roman"/>
          <w:sz w:val="24"/>
          <w:szCs w:val="24"/>
        </w:rPr>
        <w:t xml:space="preserve">, “The Absorption of Immigrants”, August 1951, </w:t>
      </w:r>
      <w:proofErr w:type="spellStart"/>
      <w:r w:rsidR="0068680F" w:rsidRPr="00810FCA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r w:rsidR="0068680F" w:rsidRPr="00810FCA">
        <w:rPr>
          <w:rFonts w:ascii="Times New Roman" w:hAnsi="Times New Roman" w:cs="Times New Roman"/>
          <w:sz w:val="24"/>
          <w:szCs w:val="24"/>
        </w:rPr>
        <w:t xml:space="preserve"> &amp;</w:t>
      </w:r>
      <w:r w:rsidR="0068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80F" w:rsidRPr="00810FCA">
        <w:rPr>
          <w:rFonts w:ascii="Times New Roman" w:hAnsi="Times New Roman" w:cs="Times New Roman"/>
          <w:sz w:val="24"/>
          <w:szCs w:val="24"/>
        </w:rPr>
        <w:t>Reinhartz</w:t>
      </w:r>
      <w:proofErr w:type="spellEnd"/>
      <w:r w:rsidR="0068680F" w:rsidRPr="00810FCA">
        <w:rPr>
          <w:rFonts w:ascii="Times New Roman" w:hAnsi="Times New Roman" w:cs="Times New Roman"/>
          <w:sz w:val="24"/>
          <w:szCs w:val="24"/>
        </w:rPr>
        <w:t>, p</w:t>
      </w:r>
      <w:r w:rsidR="0068680F">
        <w:rPr>
          <w:rFonts w:ascii="Times New Roman" w:hAnsi="Times New Roman" w:cs="Times New Roman"/>
          <w:sz w:val="24"/>
          <w:szCs w:val="24"/>
        </w:rPr>
        <w:t>p</w:t>
      </w:r>
      <w:r w:rsidR="0068680F" w:rsidRPr="00810FCA">
        <w:rPr>
          <w:rFonts w:ascii="Times New Roman" w:hAnsi="Times New Roman" w:cs="Times New Roman"/>
          <w:sz w:val="24"/>
          <w:szCs w:val="24"/>
        </w:rPr>
        <w:t>. 103-105</w:t>
      </w:r>
    </w:p>
    <w:p w:rsidR="00D60AFA" w:rsidRDefault="00D60AFA" w:rsidP="00231B6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47D93" w:rsidRDefault="00D60AFA" w:rsidP="00D60AFA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68680F" w:rsidRPr="0068680F" w:rsidRDefault="0068680F" w:rsidP="00D60AF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8680F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Pr="0068680F">
        <w:rPr>
          <w:rFonts w:ascii="Times New Roman" w:hAnsi="Times New Roman" w:cs="Times New Roman"/>
          <w:sz w:val="24"/>
          <w:szCs w:val="24"/>
        </w:rPr>
        <w:t xml:space="preserve">, </w:t>
      </w:r>
      <w:r w:rsidRPr="0068680F">
        <w:rPr>
          <w:rFonts w:ascii="Times New Roman" w:hAnsi="Times New Roman" w:cs="Times New Roman"/>
          <w:i/>
          <w:iCs/>
          <w:sz w:val="24"/>
          <w:szCs w:val="24"/>
        </w:rPr>
        <w:t>Israel – A History</w:t>
      </w:r>
      <w:r>
        <w:rPr>
          <w:rFonts w:ascii="Times New Roman" w:hAnsi="Times New Roman" w:cs="Times New Roman"/>
          <w:sz w:val="24"/>
          <w:szCs w:val="24"/>
        </w:rPr>
        <w:t>, pp. 222-248.</w:t>
      </w:r>
    </w:p>
    <w:p w:rsidR="000C04E0" w:rsidRDefault="000C04E0" w:rsidP="000C04E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Moshe Lissak</w:t>
      </w:r>
      <w:proofErr w:type="gramStart"/>
      <w:r w:rsidRPr="00810FCA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Pr="00810FCA">
        <w:rPr>
          <w:rFonts w:ascii="Times New Roman" w:hAnsi="Times New Roman" w:cs="Times New Roman"/>
          <w:sz w:val="24"/>
          <w:szCs w:val="24"/>
        </w:rPr>
        <w:t>The Demographic-Social Revoluti</w:t>
      </w:r>
      <w:r>
        <w:rPr>
          <w:rFonts w:ascii="Times New Roman" w:hAnsi="Times New Roman" w:cs="Times New Roman"/>
          <w:sz w:val="24"/>
          <w:szCs w:val="24"/>
        </w:rPr>
        <w:t>on in Israel in the 1950s: The A</w:t>
      </w:r>
      <w:r w:rsidRPr="00810FCA">
        <w:rPr>
          <w:rFonts w:ascii="Times New Roman" w:hAnsi="Times New Roman" w:cs="Times New Roman"/>
          <w:sz w:val="24"/>
          <w:szCs w:val="24"/>
        </w:rPr>
        <w:t xml:space="preserve">bsorption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0FCA">
        <w:rPr>
          <w:rFonts w:ascii="Times New Roman" w:hAnsi="Times New Roman" w:cs="Times New Roman"/>
          <w:sz w:val="24"/>
          <w:szCs w:val="24"/>
        </w:rPr>
        <w:t xml:space="preserve">Great ‘Aliya’”,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>Journal of Israeli History</w:t>
      </w:r>
      <w:r w:rsidRPr="00810FCA">
        <w:rPr>
          <w:rFonts w:ascii="Times New Roman" w:hAnsi="Times New Roman" w:cs="Times New Roman"/>
          <w:sz w:val="24"/>
          <w:szCs w:val="24"/>
        </w:rPr>
        <w:t>, 22,2 (2003), pp. 1-31</w:t>
      </w:r>
    </w:p>
    <w:p w:rsidR="0008143E" w:rsidRDefault="00FB21A1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C04E0">
        <w:rPr>
          <w:rFonts w:ascii="Times New Roman" w:hAnsi="Times New Roman" w:cs="Times New Roman"/>
          <w:sz w:val="24"/>
          <w:szCs w:val="24"/>
        </w:rPr>
        <w:t>acohen</w:t>
      </w:r>
      <w:proofErr w:type="spellEnd"/>
      <w:proofErr w:type="gramStart"/>
      <w:r w:rsidR="000C04E0">
        <w:rPr>
          <w:rFonts w:ascii="Times New Roman" w:hAnsi="Times New Roman" w:cs="Times New Roman"/>
          <w:sz w:val="24"/>
          <w:szCs w:val="24"/>
        </w:rPr>
        <w:t>,</w:t>
      </w:r>
      <w:r w:rsidR="00CE4262">
        <w:rPr>
          <w:rFonts w:ascii="Times New Roman" w:hAnsi="Times New Roman" w:cs="Times New Roman"/>
          <w:sz w:val="24"/>
          <w:szCs w:val="24"/>
        </w:rPr>
        <w:t xml:space="preserve"> </w:t>
      </w:r>
      <w:r w:rsidR="000C04E0">
        <w:rPr>
          <w:rFonts w:ascii="Times New Roman" w:hAnsi="Times New Roman" w:cs="Times New Roman"/>
          <w:sz w:val="24"/>
          <w:szCs w:val="24"/>
        </w:rPr>
        <w:t xml:space="preserve"> </w:t>
      </w:r>
      <w:r w:rsidR="000C04E0">
        <w:rPr>
          <w:rFonts w:ascii="Times New Roman" w:hAnsi="Times New Roman" w:cs="Times New Roman"/>
          <w:i/>
          <w:iCs/>
          <w:sz w:val="24"/>
          <w:szCs w:val="24"/>
        </w:rPr>
        <w:t>Immigrants</w:t>
      </w:r>
      <w:proofErr w:type="gramEnd"/>
      <w:r w:rsidR="000C04E0">
        <w:rPr>
          <w:rFonts w:ascii="Times New Roman" w:hAnsi="Times New Roman" w:cs="Times New Roman"/>
          <w:i/>
          <w:iCs/>
          <w:sz w:val="24"/>
          <w:szCs w:val="24"/>
        </w:rPr>
        <w:t xml:space="preserve"> in Turmoil</w:t>
      </w:r>
      <w:r w:rsidR="003D51BE">
        <w:rPr>
          <w:rFonts w:ascii="Times New Roman" w:hAnsi="Times New Roman" w:cs="Times New Roman"/>
          <w:sz w:val="24"/>
          <w:szCs w:val="24"/>
        </w:rPr>
        <w:t xml:space="preserve">, </w:t>
      </w:r>
      <w:r w:rsidR="003D51BE" w:rsidRPr="003D51BE">
        <w:rPr>
          <w:rFonts w:ascii="Times New Roman" w:hAnsi="Times New Roman" w:cs="Times New Roman"/>
          <w:sz w:val="24"/>
          <w:szCs w:val="24"/>
        </w:rPr>
        <w:t>Syracuse University Press</w:t>
      </w:r>
      <w:r w:rsidR="001F5118">
        <w:rPr>
          <w:rFonts w:ascii="Times New Roman" w:hAnsi="Times New Roman" w:cs="Times New Roman"/>
          <w:sz w:val="24"/>
          <w:szCs w:val="24"/>
        </w:rPr>
        <w:t>, 2003, pp. 12-94.</w:t>
      </w:r>
    </w:p>
    <w:p w:rsidR="004E33A4" w:rsidRPr="003D51BE" w:rsidRDefault="004E33A4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08143E" w:rsidRPr="003D51BE" w:rsidRDefault="0008143E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803BCA" w:rsidRPr="00803BCA" w:rsidRDefault="00803BCA" w:rsidP="00803BCA">
      <w:pPr>
        <w:ind w:left="-90" w:firstLine="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BC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March 3: Social Tensions – Israeli Ethnicity and the Arab Minority 1950-1960</w:t>
      </w:r>
    </w:p>
    <w:p w:rsidR="00803BCA" w:rsidRDefault="00803BCA" w:rsidP="00803BCA">
      <w:pPr>
        <w:ind w:left="-90" w:firstLine="9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41" w:rsidRPr="00810FCA" w:rsidRDefault="00311C5B" w:rsidP="00292941">
      <w:pPr>
        <w:ind w:left="-90" w:firstLine="9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Source:</w:t>
      </w:r>
    </w:p>
    <w:p w:rsidR="006F515D" w:rsidRPr="00810FCA" w:rsidRDefault="00327C06" w:rsidP="00D60AFA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David</w:t>
      </w:r>
      <w:r w:rsidR="00D60AFA">
        <w:rPr>
          <w:rFonts w:ascii="Times New Roman" w:hAnsi="Times New Roman" w:cs="Times New Roman"/>
          <w:sz w:val="24"/>
          <w:szCs w:val="24"/>
        </w:rPr>
        <w:t xml:space="preserve"> Ben-Gurion “Social and Ethnic T</w:t>
      </w:r>
      <w:r w:rsidRPr="00810FCA">
        <w:rPr>
          <w:rFonts w:ascii="Times New Roman" w:hAnsi="Times New Roman" w:cs="Times New Roman"/>
          <w:sz w:val="24"/>
          <w:szCs w:val="24"/>
        </w:rPr>
        <w:t xml:space="preserve">ension in </w:t>
      </w:r>
      <w:r w:rsidR="00D60AFA">
        <w:rPr>
          <w:rFonts w:ascii="Times New Roman" w:hAnsi="Times New Roman" w:cs="Times New Roman"/>
          <w:sz w:val="24"/>
          <w:szCs w:val="24"/>
        </w:rPr>
        <w:t>W</w:t>
      </w:r>
      <w:r w:rsidRPr="00810FCA">
        <w:rPr>
          <w:rFonts w:ascii="Times New Roman" w:hAnsi="Times New Roman" w:cs="Times New Roman"/>
          <w:sz w:val="24"/>
          <w:szCs w:val="24"/>
        </w:rPr>
        <w:t>adi Salib”, Rabinowitz &amp;</w:t>
      </w:r>
      <w:r w:rsidR="00D60AFA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Reinhartz, pp. 164-166.</w:t>
      </w:r>
    </w:p>
    <w:p w:rsidR="00AB5577" w:rsidRPr="00810FCA" w:rsidRDefault="00AB5577" w:rsidP="00AB557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Bishara</w:t>
      </w:r>
      <w:proofErr w:type="spellEnd"/>
      <w:r>
        <w:rPr>
          <w:rFonts w:ascii="Times New Roman" w:hAnsi="Times New Roman" w:cs="Times New Roman"/>
          <w:sz w:val="24"/>
          <w:szCs w:val="24"/>
        </w:rPr>
        <w:t>, “Arab Citizens of Palestine: Little to Celebrate”</w:t>
      </w:r>
      <w:r w:rsidRPr="00810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Rabinowitz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Reinhartz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F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467-468</w:t>
      </w:r>
      <w:r w:rsidRPr="00810FCA">
        <w:rPr>
          <w:rFonts w:ascii="Times New Roman" w:hAnsi="Times New Roman" w:cs="Times New Roman"/>
          <w:sz w:val="24"/>
          <w:szCs w:val="24"/>
        </w:rPr>
        <w:t>.</w:t>
      </w:r>
    </w:p>
    <w:p w:rsidR="003A3274" w:rsidRPr="00810FCA" w:rsidRDefault="003A3274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C7BF2" w:rsidRPr="00810FCA" w:rsidRDefault="003A3274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3C7BF2" w:rsidRPr="00810FCA">
        <w:rPr>
          <w:rFonts w:ascii="Times New Roman" w:hAnsi="Times New Roman" w:cs="Times New Roman"/>
          <w:sz w:val="24"/>
          <w:szCs w:val="24"/>
          <w:u w:val="single"/>
        </w:rPr>
        <w:t>eading</w:t>
      </w:r>
      <w:r w:rsidR="003C7BF2" w:rsidRPr="00810FCA">
        <w:rPr>
          <w:rFonts w:ascii="Times New Roman" w:hAnsi="Times New Roman" w:cs="Times New Roman"/>
          <w:sz w:val="24"/>
          <w:szCs w:val="24"/>
        </w:rPr>
        <w:t>:</w:t>
      </w:r>
    </w:p>
    <w:p w:rsidR="00327C06" w:rsidRPr="00810FCA" w:rsidRDefault="00311C5B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Shindler, pp. 91-97</w:t>
      </w:r>
    </w:p>
    <w:p w:rsidR="003729F6" w:rsidRPr="00810FCA" w:rsidRDefault="003729F6" w:rsidP="00D60AFA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Emmanuel Marx, “The Development Town, 1956-1966: Analysis “ in: Rabinowitz &amp;</w:t>
      </w:r>
      <w:r w:rsidR="00D60AFA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 xml:space="preserve">Reinhartz pp. </w:t>
      </w:r>
      <w:r w:rsidR="00D60AFA">
        <w:rPr>
          <w:rFonts w:ascii="Times New Roman" w:hAnsi="Times New Roman" w:cs="Times New Roman"/>
          <w:sz w:val="24"/>
          <w:szCs w:val="24"/>
        </w:rPr>
        <w:t>1</w:t>
      </w:r>
      <w:r w:rsidRPr="00810FCA">
        <w:rPr>
          <w:rFonts w:ascii="Times New Roman" w:hAnsi="Times New Roman" w:cs="Times New Roman"/>
          <w:sz w:val="24"/>
          <w:szCs w:val="24"/>
        </w:rPr>
        <w:t>58-163.</w:t>
      </w:r>
    </w:p>
    <w:p w:rsidR="00AB5577" w:rsidRDefault="00AB5577" w:rsidP="00AB5577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810FCA">
        <w:rPr>
          <w:rFonts w:ascii="Times New Roman" w:hAnsi="Times New Roman" w:cs="Times New Roman"/>
          <w:sz w:val="24"/>
          <w:szCs w:val="24"/>
        </w:rPr>
        <w:t>Dowty</w:t>
      </w:r>
      <w:proofErr w:type="spellEnd"/>
      <w:r w:rsidRPr="00810FCA">
        <w:rPr>
          <w:rFonts w:ascii="Times New Roman" w:hAnsi="Times New Roman" w:cs="Times New Roman"/>
          <w:sz w:val="24"/>
          <w:szCs w:val="24"/>
        </w:rPr>
        <w:t xml:space="preserve">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>The Jewish State, A Century Later</w:t>
      </w:r>
      <w:r w:rsidRPr="00810FCA">
        <w:rPr>
          <w:rFonts w:ascii="Times New Roman" w:hAnsi="Times New Roman" w:cs="Times New Roman"/>
          <w:sz w:val="24"/>
          <w:szCs w:val="24"/>
        </w:rPr>
        <w:t>, University of California Press, Berkeley and LA, 1998, pp. 184-215.</w:t>
      </w:r>
    </w:p>
    <w:p w:rsidR="00AB5577" w:rsidRPr="00746CAC" w:rsidRDefault="00AB5577" w:rsidP="00AB5577">
      <w:pPr>
        <w:jc w:val="left"/>
        <w:rPr>
          <w:rFonts w:asciiTheme="majorBidi" w:hAnsiTheme="majorBidi" w:cstheme="majorBidi"/>
          <w:sz w:val="24"/>
          <w:szCs w:val="24"/>
        </w:rPr>
      </w:pPr>
      <w:r w:rsidRPr="00746CAC">
        <w:rPr>
          <w:rFonts w:asciiTheme="majorBidi" w:hAnsiTheme="majorBidi" w:cstheme="majorBidi"/>
          <w:sz w:val="24"/>
          <w:szCs w:val="24"/>
        </w:rPr>
        <w:t xml:space="preserve">Tom </w:t>
      </w:r>
      <w:proofErr w:type="spellStart"/>
      <w:r w:rsidRPr="00746CAC">
        <w:rPr>
          <w:rFonts w:asciiTheme="majorBidi" w:hAnsiTheme="majorBidi" w:cstheme="majorBidi"/>
          <w:sz w:val="24"/>
          <w:szCs w:val="24"/>
        </w:rPr>
        <w:t>Segev</w:t>
      </w:r>
      <w:proofErr w:type="spellEnd"/>
      <w:r w:rsidRPr="00746CAC">
        <w:rPr>
          <w:rFonts w:asciiTheme="majorBidi" w:hAnsiTheme="majorBidi" w:cstheme="majorBidi"/>
          <w:sz w:val="24"/>
          <w:szCs w:val="24"/>
        </w:rPr>
        <w:t>, 1949: The First Israelis, 43-67</w:t>
      </w:r>
    </w:p>
    <w:p w:rsidR="00311C5B" w:rsidRDefault="00311C5B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1C7714" w:rsidRPr="00311C5B" w:rsidRDefault="0008143E" w:rsidP="000D6C48">
      <w:pPr>
        <w:ind w:left="-90" w:firstLine="9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1C5B">
        <w:rPr>
          <w:rFonts w:ascii="Times New Roman" w:hAnsi="Times New Roman" w:cs="Times New Roman"/>
          <w:b/>
          <w:i/>
          <w:sz w:val="24"/>
          <w:szCs w:val="24"/>
        </w:rPr>
        <w:t>Watch the movie “Salah Shabbati”</w:t>
      </w:r>
      <w:r w:rsidR="0031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C5B" w:rsidRPr="00311C5B">
        <w:rPr>
          <w:rFonts w:ascii="Times New Roman" w:hAnsi="Times New Roman" w:cs="Times New Roman"/>
          <w:sz w:val="24"/>
          <w:szCs w:val="24"/>
        </w:rPr>
        <w:t>(Access will be explained in class)</w:t>
      </w:r>
    </w:p>
    <w:p w:rsidR="001C7714" w:rsidRPr="00810FCA" w:rsidRDefault="001C7714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967241" w:rsidRPr="00746CAC" w:rsidRDefault="00967241" w:rsidP="000D6C48">
      <w:pPr>
        <w:ind w:left="-90" w:firstLine="90"/>
        <w:jc w:val="left"/>
        <w:rPr>
          <w:rFonts w:asciiTheme="majorBidi" w:hAnsiTheme="majorBidi" w:cstheme="majorBidi"/>
          <w:sz w:val="24"/>
          <w:szCs w:val="24"/>
        </w:rPr>
      </w:pPr>
    </w:p>
    <w:p w:rsidR="006B6290" w:rsidRPr="00810FCA" w:rsidRDefault="006B6290" w:rsidP="000D6C48">
      <w:pPr>
        <w:ind w:left="-90" w:firstLine="90"/>
        <w:jc w:val="left"/>
        <w:rPr>
          <w:rFonts w:ascii="Times New Roman" w:hAnsi="Times New Roman" w:cs="Times New Roman"/>
          <w:sz w:val="24"/>
          <w:szCs w:val="24"/>
        </w:rPr>
      </w:pPr>
    </w:p>
    <w:p w:rsidR="006B6290" w:rsidRPr="00AB5577" w:rsidRDefault="00311C5B" w:rsidP="00A23B6D">
      <w:pPr>
        <w:bidi/>
        <w:jc w:val="center"/>
        <w:rPr>
          <w:rFonts w:ascii="Lucida Handwriting" w:hAnsi="Lucida Handwriting" w:cs="Times New Roman"/>
          <w:b/>
          <w:bCs/>
          <w:sz w:val="36"/>
          <w:szCs w:val="36"/>
        </w:rPr>
      </w:pPr>
      <w:r w:rsidRPr="00C2326D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>Part II: War, Euphoria, and War A</w:t>
      </w:r>
      <w:r w:rsidR="006B6290" w:rsidRPr="00C2326D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>gain – 1967-1982</w:t>
      </w:r>
    </w:p>
    <w:p w:rsidR="006B6290" w:rsidRPr="00810FCA" w:rsidRDefault="006B6290" w:rsidP="006B6290">
      <w:pPr>
        <w:bidi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6290" w:rsidRPr="00C2326D" w:rsidRDefault="00AB5577" w:rsidP="00483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March </w:t>
      </w:r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10</w:t>
      </w:r>
      <w:r w:rsidR="0008143E"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: </w:t>
      </w:r>
      <w:r w:rsidR="00311C5B"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The </w:t>
      </w:r>
      <w:proofErr w:type="gramStart"/>
      <w:r w:rsidR="006B6290" w:rsidRPr="00C2326D">
        <w:rPr>
          <w:rFonts w:ascii="Times New Roman" w:hAnsi="Times New Roman" w:cs="Times New Roman" w:hint="cs"/>
          <w:b/>
          <w:bCs/>
          <w:sz w:val="32"/>
          <w:szCs w:val="32"/>
          <w:highlight w:val="lightGray"/>
          <w:rtl/>
        </w:rPr>
        <w:t xml:space="preserve">1967 </w:t>
      </w:r>
      <w:r w:rsidR="00D60AFA"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War</w:t>
      </w:r>
      <w:proofErr w:type="gramEnd"/>
      <w:r w:rsidR="00D60AFA"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and its I</w:t>
      </w:r>
      <w:r w:rsidR="006B6290" w:rsidRPr="00C2326D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mpact on Israeli Society</w:t>
      </w:r>
    </w:p>
    <w:p w:rsidR="002A2D36" w:rsidRDefault="002A2D36" w:rsidP="006B629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EB7663" w:rsidRPr="00810FCA" w:rsidRDefault="00EB7663" w:rsidP="006B629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413C5">
        <w:rPr>
          <w:rFonts w:ascii="Times New Roman" w:hAnsi="Times New Roman" w:cs="Times New Roman"/>
          <w:sz w:val="24"/>
          <w:szCs w:val="24"/>
        </w:rPr>
        <w:t xml:space="preserve">Tom Segev, </w:t>
      </w:r>
      <w:r w:rsidRPr="007413C5">
        <w:rPr>
          <w:rFonts w:ascii="Times New Roman" w:hAnsi="Times New Roman" w:cs="Times New Roman"/>
          <w:i/>
          <w:iCs/>
          <w:sz w:val="24"/>
          <w:szCs w:val="24"/>
        </w:rPr>
        <w:t>1967, Israel, the War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413C5">
        <w:rPr>
          <w:rFonts w:ascii="Times New Roman" w:hAnsi="Times New Roman" w:cs="Times New Roman"/>
          <w:i/>
          <w:iCs/>
          <w:sz w:val="24"/>
          <w:szCs w:val="24"/>
        </w:rPr>
        <w:t xml:space="preserve"> and the Year that Transformed the Middle East</w:t>
      </w:r>
      <w:r w:rsidRPr="007413C5">
        <w:rPr>
          <w:rFonts w:ascii="Times New Roman" w:hAnsi="Times New Roman" w:cs="Times New Roman"/>
          <w:sz w:val="24"/>
          <w:szCs w:val="24"/>
        </w:rPr>
        <w:t>, Metropolitan</w:t>
      </w:r>
      <w:r w:rsidRPr="00810FCA">
        <w:rPr>
          <w:rFonts w:ascii="Times New Roman" w:hAnsi="Times New Roman" w:cs="Times New Roman"/>
          <w:sz w:val="24"/>
          <w:szCs w:val="24"/>
        </w:rPr>
        <w:t xml:space="preserve"> Books, New-York, 2007, pp. </w:t>
      </w:r>
      <w:r>
        <w:rPr>
          <w:rFonts w:ascii="Times New Roman" w:hAnsi="Times New Roman" w:cs="Times New Roman"/>
          <w:sz w:val="24"/>
          <w:szCs w:val="24"/>
        </w:rPr>
        <w:t>419-481. 500-522</w:t>
      </w:r>
    </w:p>
    <w:p w:rsidR="006B6290" w:rsidRDefault="00F97D17" w:rsidP="00CB099D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55478">
        <w:rPr>
          <w:rFonts w:ascii="Times New Roman" w:hAnsi="Times New Roman" w:cs="Times New Roman"/>
          <w:sz w:val="24"/>
          <w:szCs w:val="24"/>
        </w:rPr>
        <w:t>Colin</w:t>
      </w:r>
      <w:r w:rsidRPr="00810FCA">
        <w:rPr>
          <w:rFonts w:ascii="Times New Roman" w:hAnsi="Times New Roman" w:cs="Times New Roman"/>
          <w:sz w:val="24"/>
          <w:szCs w:val="24"/>
        </w:rPr>
        <w:t xml:space="preserve"> Shindler, </w:t>
      </w:r>
      <w:r w:rsidR="006B6290" w:rsidRPr="00810FCA">
        <w:rPr>
          <w:rFonts w:ascii="Times New Roman" w:hAnsi="Times New Roman" w:cs="Times New Roman"/>
          <w:sz w:val="24"/>
          <w:szCs w:val="24"/>
        </w:rPr>
        <w:t>pp.123-146.</w:t>
      </w:r>
      <w:proofErr w:type="gramEnd"/>
      <w:r w:rsidR="00CB099D" w:rsidRPr="00810FCA">
        <w:rPr>
          <w:rFonts w:ascii="Times New Roman" w:hAnsi="Times New Roman" w:cs="Times New Roman"/>
          <w:sz w:val="24"/>
          <w:szCs w:val="24"/>
        </w:rPr>
        <w:tab/>
      </w:r>
    </w:p>
    <w:p w:rsidR="00C2326D" w:rsidRPr="00C2326D" w:rsidRDefault="00C2326D" w:rsidP="00CB099D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26D">
        <w:rPr>
          <w:rFonts w:ascii="Times New Roman" w:hAnsi="Times New Roman" w:cs="Times New Roman"/>
          <w:i/>
          <w:iCs/>
          <w:sz w:val="24"/>
          <w:szCs w:val="24"/>
        </w:rPr>
        <w:t xml:space="preserve">Israel A </w:t>
      </w:r>
      <w:r w:rsidR="00115CE1">
        <w:rPr>
          <w:rFonts w:ascii="Times New Roman" w:hAnsi="Times New Roman" w:cs="Times New Roman"/>
          <w:i/>
          <w:iCs/>
          <w:sz w:val="24"/>
          <w:szCs w:val="24"/>
        </w:rPr>
        <w:t>History, pp</w:t>
      </w:r>
      <w:r>
        <w:rPr>
          <w:rFonts w:ascii="Times New Roman" w:hAnsi="Times New Roman" w:cs="Times New Roman"/>
          <w:sz w:val="24"/>
          <w:szCs w:val="24"/>
        </w:rPr>
        <w:t>. 295-326</w:t>
      </w:r>
    </w:p>
    <w:p w:rsidR="000C64CE" w:rsidRDefault="000C64CE" w:rsidP="00CB099D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B7663" w:rsidRPr="00311C5B" w:rsidRDefault="00EB7663" w:rsidP="00597B75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1C5B">
        <w:rPr>
          <w:rFonts w:ascii="Times New Roman" w:hAnsi="Times New Roman" w:cs="Times New Roman"/>
          <w:b/>
          <w:i/>
          <w:sz w:val="24"/>
          <w:szCs w:val="24"/>
        </w:rPr>
        <w:t>Watch the movie “Late Summer Blues”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1C5B">
        <w:rPr>
          <w:rFonts w:ascii="Times New Roman" w:hAnsi="Times New Roman" w:cs="Times New Roman"/>
          <w:sz w:val="24"/>
          <w:szCs w:val="24"/>
        </w:rPr>
        <w:t>(</w:t>
      </w:r>
      <w:r w:rsidR="00597B75">
        <w:rPr>
          <w:rFonts w:ascii="Times New Roman" w:hAnsi="Times New Roman" w:cs="Times New Roman"/>
          <w:sz w:val="24"/>
          <w:szCs w:val="24"/>
        </w:rPr>
        <w:t>OCRA</w:t>
      </w:r>
      <w:r w:rsidRPr="00311C5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70" w:type="pct"/>
        <w:jc w:val="center"/>
        <w:tblCellSpacing w:w="18" w:type="dxa"/>
        <w:tblCellMar>
          <w:left w:w="0" w:type="dxa"/>
          <w:right w:w="0" w:type="dxa"/>
        </w:tblCellMar>
        <w:tblLook w:val="04A0"/>
      </w:tblPr>
      <w:tblGrid>
        <w:gridCol w:w="1453"/>
      </w:tblGrid>
      <w:tr w:rsidR="00EB7663" w:rsidRPr="0091663E" w:rsidTr="007D4D2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663" w:rsidRPr="00810FCA" w:rsidRDefault="00EB7663" w:rsidP="007D4D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287" w:rsidRDefault="00180287" w:rsidP="00CB099D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11C5B" w:rsidRDefault="00311C5B" w:rsidP="00180287">
      <w:pPr>
        <w:tabs>
          <w:tab w:val="left" w:pos="2931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5B" w:rsidRPr="00893289" w:rsidRDefault="00893289" w:rsidP="00483E03">
      <w:pPr>
        <w:tabs>
          <w:tab w:val="left" w:pos="293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3289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March 1</w:t>
      </w:r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7</w:t>
      </w:r>
      <w:r w:rsidRPr="00893289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: The 1973 War</w:t>
      </w:r>
    </w:p>
    <w:p w:rsidR="00311C5B" w:rsidRDefault="00311C5B" w:rsidP="00180287">
      <w:pPr>
        <w:tabs>
          <w:tab w:val="left" w:pos="2931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80287" w:rsidRDefault="00180287" w:rsidP="00180287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80287">
        <w:rPr>
          <w:rFonts w:ascii="Times New Roman" w:hAnsi="Times New Roman" w:cs="Times New Roman"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7663" w:rsidRDefault="00EB7663" w:rsidP="00180287">
      <w:pPr>
        <w:tabs>
          <w:tab w:val="left" w:pos="2931"/>
        </w:tabs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B7663" w:rsidRPr="00EB7663" w:rsidRDefault="00EB7663" w:rsidP="000C64CE">
      <w:pPr>
        <w:tabs>
          <w:tab w:val="left" w:pos="2931"/>
        </w:tabs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EB7663">
        <w:rPr>
          <w:rFonts w:asciiTheme="majorBidi" w:hAnsiTheme="majorBidi" w:cstheme="majorBidi"/>
          <w:sz w:val="24"/>
          <w:szCs w:val="24"/>
        </w:rPr>
        <w:t xml:space="preserve">Benny Morris, </w:t>
      </w:r>
      <w:r w:rsidRPr="00EB7663">
        <w:rPr>
          <w:rFonts w:asciiTheme="majorBidi" w:hAnsiTheme="majorBidi" w:cstheme="majorBidi"/>
          <w:i/>
          <w:iCs/>
          <w:sz w:val="24"/>
          <w:szCs w:val="24"/>
        </w:rPr>
        <w:t>Righteous Victims</w:t>
      </w:r>
      <w:r w:rsidRPr="00EB76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</w:t>
      </w:r>
      <w:r w:rsidRPr="00EB7663">
        <w:rPr>
          <w:rFonts w:asciiTheme="majorBidi" w:hAnsiTheme="majorBidi" w:cstheme="majorBidi"/>
          <w:sz w:val="24"/>
          <w:szCs w:val="24"/>
        </w:rPr>
        <w:t>Vintage, 2001,</w:t>
      </w:r>
      <w:r>
        <w:rPr>
          <w:rFonts w:asciiTheme="majorBidi" w:hAnsiTheme="majorBidi" w:cstheme="majorBidi"/>
          <w:sz w:val="24"/>
          <w:szCs w:val="24"/>
        </w:rPr>
        <w:t xml:space="preserve"> pp.</w:t>
      </w:r>
      <w:r w:rsidRPr="00EB7663">
        <w:rPr>
          <w:rFonts w:asciiTheme="majorBidi" w:hAnsiTheme="majorBidi" w:cstheme="majorBidi"/>
          <w:sz w:val="24"/>
          <w:szCs w:val="24"/>
        </w:rPr>
        <w:t xml:space="preserve"> 387-</w:t>
      </w:r>
      <w:r w:rsidR="000C64CE">
        <w:rPr>
          <w:rFonts w:asciiTheme="majorBidi" w:hAnsiTheme="majorBidi" w:cstheme="majorBidi"/>
          <w:sz w:val="24"/>
          <w:szCs w:val="24"/>
        </w:rPr>
        <w:t>444.</w:t>
      </w:r>
    </w:p>
    <w:p w:rsidR="00180287" w:rsidRDefault="00893289" w:rsidP="00180287">
      <w:pPr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Shapira</w:t>
      </w:r>
      <w:proofErr w:type="spellEnd"/>
      <w:r>
        <w:rPr>
          <w:rFonts w:asciiTheme="majorBidi" w:hAnsiTheme="majorBidi" w:cstheme="majorBidi"/>
          <w:sz w:val="24"/>
          <w:szCs w:val="24"/>
        </w:rPr>
        <w:t>, pp. 326-340</w:t>
      </w:r>
    </w:p>
    <w:p w:rsidR="00483E03" w:rsidRDefault="00483E03" w:rsidP="0018028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483E03" w:rsidRPr="00876798" w:rsidRDefault="00483E03" w:rsidP="00483E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76798">
        <w:rPr>
          <w:rFonts w:ascii="Times New Roman" w:hAnsi="Times New Roman" w:cs="Times New Roman"/>
          <w:sz w:val="32"/>
          <w:szCs w:val="32"/>
          <w:highlight w:val="lightGray"/>
        </w:rPr>
        <w:t>March 24: Spring Break</w:t>
      </w:r>
    </w:p>
    <w:p w:rsidR="00483E03" w:rsidRPr="00EB7663" w:rsidRDefault="00483E03" w:rsidP="0018028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E6FF7" w:rsidRDefault="009E6FF7" w:rsidP="00372E50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2DFB" w:rsidRPr="00810FCA" w:rsidRDefault="006A2DFB" w:rsidP="0008113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6BC6" w:rsidRDefault="00115CE1" w:rsidP="00483E03">
      <w:pPr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March </w:t>
      </w:r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31</w:t>
      </w:r>
      <w:r w:rsidR="0008143E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: </w:t>
      </w:r>
      <w:r w:rsidR="006A2E5E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1977</w:t>
      </w:r>
      <w:r w:rsidR="00D60AFA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311C5B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–</w:t>
      </w:r>
      <w:r w:rsidR="006A2E5E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311C5B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“The </w:t>
      </w:r>
      <w:r w:rsidR="000B6BC6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Upheaval” in Israeli Politics</w:t>
      </w:r>
    </w:p>
    <w:p w:rsidR="00483E03" w:rsidRDefault="00483E03" w:rsidP="00483E03">
      <w:pPr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3E03" w:rsidRDefault="00483E03" w:rsidP="00483E03">
      <w:pPr>
        <w:ind w:left="-90" w:firstLine="9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Paper #2</w:t>
      </w:r>
      <w:r w:rsidRPr="001802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due today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5pm</w:t>
      </w:r>
    </w:p>
    <w:p w:rsidR="00483E03" w:rsidRPr="00115CE1" w:rsidRDefault="00483E03" w:rsidP="00483E03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:rsidR="00042537" w:rsidRPr="00810FCA" w:rsidRDefault="00775C86" w:rsidP="00775C8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</w:t>
      </w:r>
      <w:r w:rsidRPr="00810FC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75C86" w:rsidRPr="00810FCA" w:rsidRDefault="00775C86" w:rsidP="00775C8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Menahem Begin, “Prospects for the New Government, May 19-20 1977, in: Rabinowitz &amp;</w:t>
      </w:r>
      <w:r w:rsidR="00D60AFA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Reinhartz, pp. 296-300.</w:t>
      </w:r>
    </w:p>
    <w:p w:rsidR="00042537" w:rsidRPr="00810FCA" w:rsidRDefault="00042537" w:rsidP="00775C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2537" w:rsidRPr="00810FCA" w:rsidRDefault="00042537" w:rsidP="00775C8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0B0D69" w:rsidRDefault="000B0D69" w:rsidP="00E6738F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Colin Shindler, pp. 1</w:t>
      </w:r>
      <w:r w:rsidR="00E6738F">
        <w:rPr>
          <w:rFonts w:ascii="Times New Roman" w:hAnsi="Times New Roman" w:cs="Times New Roman"/>
          <w:sz w:val="24"/>
          <w:szCs w:val="24"/>
        </w:rPr>
        <w:t>23</w:t>
      </w:r>
      <w:r w:rsidRPr="00810FCA">
        <w:rPr>
          <w:rFonts w:ascii="Times New Roman" w:hAnsi="Times New Roman" w:cs="Times New Roman"/>
          <w:sz w:val="24"/>
          <w:szCs w:val="24"/>
        </w:rPr>
        <w:t>-1</w:t>
      </w:r>
      <w:r w:rsidR="00073B07">
        <w:rPr>
          <w:rFonts w:ascii="Times New Roman" w:hAnsi="Times New Roman" w:cs="Times New Roman"/>
          <w:sz w:val="24"/>
          <w:szCs w:val="24"/>
        </w:rPr>
        <w:t>50.</w:t>
      </w:r>
    </w:p>
    <w:p w:rsidR="00865301" w:rsidRDefault="00865301" w:rsidP="00865301">
      <w:pPr>
        <w:jc w:val="left"/>
        <w:rPr>
          <w:rFonts w:asciiTheme="majorBidi" w:hAnsiTheme="majorBidi" w:cstheme="majorBidi"/>
          <w:sz w:val="24"/>
          <w:szCs w:val="24"/>
        </w:rPr>
      </w:pPr>
      <w:r w:rsidRPr="00865301">
        <w:rPr>
          <w:rFonts w:asciiTheme="majorBidi" w:hAnsiTheme="majorBidi" w:cstheme="majorBidi"/>
          <w:sz w:val="24"/>
          <w:szCs w:val="24"/>
        </w:rPr>
        <w:t xml:space="preserve">Ehud </w:t>
      </w:r>
      <w:proofErr w:type="spellStart"/>
      <w:r w:rsidRPr="00865301">
        <w:rPr>
          <w:rFonts w:asciiTheme="majorBidi" w:hAnsiTheme="majorBidi" w:cstheme="majorBidi"/>
          <w:sz w:val="24"/>
          <w:szCs w:val="24"/>
        </w:rPr>
        <w:t>Sprinzak</w:t>
      </w:r>
      <w:proofErr w:type="spellEnd"/>
      <w:r w:rsidRPr="00865301">
        <w:rPr>
          <w:rFonts w:asciiTheme="majorBidi" w:hAnsiTheme="majorBidi" w:cstheme="majorBidi"/>
          <w:sz w:val="24"/>
          <w:szCs w:val="24"/>
        </w:rPr>
        <w:t xml:space="preserve">, </w:t>
      </w:r>
      <w:r w:rsidRPr="00865301">
        <w:rPr>
          <w:rFonts w:asciiTheme="majorBidi" w:hAnsiTheme="majorBidi" w:cstheme="majorBidi"/>
          <w:i/>
          <w:iCs/>
          <w:sz w:val="24"/>
          <w:szCs w:val="24"/>
        </w:rPr>
        <w:t>The Ascendance of Israel’s Radical Right</w:t>
      </w:r>
      <w:r>
        <w:rPr>
          <w:rFonts w:asciiTheme="majorBidi" w:hAnsiTheme="majorBidi" w:cstheme="majorBidi"/>
          <w:sz w:val="24"/>
          <w:szCs w:val="24"/>
        </w:rPr>
        <w:t>,</w:t>
      </w:r>
      <w:r w:rsidRPr="00865301">
        <w:rPr>
          <w:rFonts w:asciiTheme="majorBidi" w:hAnsiTheme="majorBidi" w:cstheme="majorBidi"/>
          <w:sz w:val="24"/>
          <w:szCs w:val="24"/>
        </w:rPr>
        <w:t xml:space="preserve"> Oxford UP, 1991, 35-51, 61-105</w:t>
      </w:r>
    </w:p>
    <w:p w:rsidR="00115CE1" w:rsidRDefault="00115CE1" w:rsidP="00115CE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>, pp. 357-391.</w:t>
      </w:r>
    </w:p>
    <w:p w:rsidR="00876798" w:rsidRDefault="00876798" w:rsidP="00115C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5CE1" w:rsidRPr="00810FCA" w:rsidRDefault="00115CE1" w:rsidP="00115C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75C86" w:rsidRPr="00865301" w:rsidRDefault="00775C86" w:rsidP="00775C86">
      <w:pPr>
        <w:jc w:val="left"/>
        <w:rPr>
          <w:rFonts w:asciiTheme="majorBidi" w:hAnsiTheme="majorBidi" w:cstheme="majorBidi"/>
          <w:sz w:val="24"/>
          <w:szCs w:val="24"/>
        </w:rPr>
      </w:pPr>
    </w:p>
    <w:p w:rsidR="001B7CBF" w:rsidRPr="00810FCA" w:rsidRDefault="001B7CBF" w:rsidP="00775C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7CBF" w:rsidRPr="00810FCA" w:rsidRDefault="001B7CBF" w:rsidP="00775C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5C86" w:rsidRPr="00115CE1" w:rsidRDefault="00483E03" w:rsidP="00483E03">
      <w:pPr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April 7</w:t>
      </w:r>
      <w:r w:rsidR="0008143E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:  </w:t>
      </w:r>
      <w:r w:rsidR="00115CE1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Israeli Society - The</w:t>
      </w:r>
      <w:r w:rsidR="00311C5B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5B1D95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Gap </w:t>
      </w:r>
      <w:proofErr w:type="gramStart"/>
      <w:r w:rsidR="005B1D95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Between</w:t>
      </w:r>
      <w:proofErr w:type="gramEnd"/>
      <w:r w:rsidR="005B1D95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Right and Left</w:t>
      </w:r>
      <w:r w:rsidR="001B00B8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115CE1" w:rsidRPr="00115CE1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and the Changes in Israeli Identity</w:t>
      </w:r>
    </w:p>
    <w:p w:rsidR="00180287" w:rsidRDefault="00180287" w:rsidP="006A2E5E">
      <w:pPr>
        <w:ind w:left="720" w:hanging="7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876798" w:rsidRDefault="00876798" w:rsidP="006A2E5E">
      <w:pPr>
        <w:ind w:left="720" w:hanging="7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876798" w:rsidRDefault="00876798" w:rsidP="006A2E5E">
      <w:pPr>
        <w:ind w:left="720" w:hanging="72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7413C5" w:rsidRDefault="005B1D95" w:rsidP="007413C5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Sources</w:t>
      </w:r>
      <w:r w:rsidRPr="00810FCA">
        <w:rPr>
          <w:rFonts w:ascii="Times New Roman" w:hAnsi="Times New Roman" w:cs="Times New Roman"/>
          <w:sz w:val="24"/>
          <w:szCs w:val="24"/>
        </w:rPr>
        <w:t>:</w:t>
      </w:r>
    </w:p>
    <w:p w:rsidR="001B7CBF" w:rsidRPr="00810FCA" w:rsidRDefault="005B1D95" w:rsidP="007413C5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 Gush Emunim, “Opinion Paper”, January 1978</w:t>
      </w:r>
      <w:r w:rsidR="001B7CBF" w:rsidRPr="00810FCA">
        <w:rPr>
          <w:rFonts w:ascii="Times New Roman" w:hAnsi="Times New Roman" w:cs="Times New Roman"/>
          <w:sz w:val="24"/>
          <w:szCs w:val="24"/>
        </w:rPr>
        <w:t>, Rabinowitz &amp;</w:t>
      </w:r>
      <w:r w:rsidR="00984CC5">
        <w:rPr>
          <w:rFonts w:ascii="Times New Roman" w:hAnsi="Times New Roman" w:cs="Times New Roman"/>
          <w:sz w:val="24"/>
          <w:szCs w:val="24"/>
        </w:rPr>
        <w:t xml:space="preserve"> </w:t>
      </w:r>
      <w:r w:rsidR="001B7CBF" w:rsidRPr="00810FCA">
        <w:rPr>
          <w:rFonts w:ascii="Times New Roman" w:hAnsi="Times New Roman" w:cs="Times New Roman"/>
          <w:sz w:val="24"/>
          <w:szCs w:val="24"/>
        </w:rPr>
        <w:t xml:space="preserve">Reinhartz, pp. 305-307. </w:t>
      </w:r>
    </w:p>
    <w:p w:rsidR="005B1D95" w:rsidRPr="00810FCA" w:rsidRDefault="005B1D95" w:rsidP="000866A1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 Peace Now, “Platform”, 1980,</w:t>
      </w:r>
      <w:r w:rsidR="000866A1" w:rsidRPr="00810FCA">
        <w:rPr>
          <w:rFonts w:ascii="Times New Roman" w:hAnsi="Times New Roman" w:cs="Times New Roman"/>
          <w:sz w:val="24"/>
          <w:szCs w:val="24"/>
        </w:rPr>
        <w:t xml:space="preserve"> Rabinowitz &amp;</w:t>
      </w:r>
      <w:r w:rsidR="00984CC5">
        <w:rPr>
          <w:rFonts w:ascii="Times New Roman" w:hAnsi="Times New Roman" w:cs="Times New Roman"/>
          <w:sz w:val="24"/>
          <w:szCs w:val="24"/>
        </w:rPr>
        <w:t xml:space="preserve"> </w:t>
      </w:r>
      <w:r w:rsidR="000866A1" w:rsidRPr="00810FCA">
        <w:rPr>
          <w:rFonts w:ascii="Times New Roman" w:hAnsi="Times New Roman" w:cs="Times New Roman"/>
          <w:sz w:val="24"/>
          <w:szCs w:val="24"/>
        </w:rPr>
        <w:t>Reinhartz, pp</w:t>
      </w:r>
      <w:r w:rsidR="00984CC5">
        <w:rPr>
          <w:rFonts w:ascii="Times New Roman" w:hAnsi="Times New Roman" w:cs="Times New Roman"/>
          <w:sz w:val="24"/>
          <w:szCs w:val="24"/>
        </w:rPr>
        <w:t xml:space="preserve">. </w:t>
      </w:r>
      <w:r w:rsidR="000866A1" w:rsidRPr="00810FCA">
        <w:rPr>
          <w:rFonts w:ascii="Times New Roman" w:hAnsi="Times New Roman" w:cs="Times New Roman"/>
          <w:sz w:val="24"/>
          <w:szCs w:val="24"/>
        </w:rPr>
        <w:t>312-314.</w:t>
      </w:r>
    </w:p>
    <w:p w:rsidR="000866A1" w:rsidRPr="00810FCA" w:rsidRDefault="000866A1" w:rsidP="000866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66A1" w:rsidRPr="00810FCA" w:rsidRDefault="000866A1" w:rsidP="000866A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5B1D95" w:rsidRDefault="005B1D95" w:rsidP="00CE20B9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David Newman, “A Comparative Study of Gush </w:t>
      </w:r>
      <w:r w:rsidR="00CE20B9" w:rsidRPr="00810FCA">
        <w:rPr>
          <w:rFonts w:ascii="Times New Roman" w:hAnsi="Times New Roman" w:cs="Times New Roman"/>
          <w:sz w:val="24"/>
          <w:szCs w:val="24"/>
        </w:rPr>
        <w:t>E</w:t>
      </w:r>
      <w:r w:rsidRPr="00810FCA">
        <w:rPr>
          <w:rFonts w:ascii="Times New Roman" w:hAnsi="Times New Roman" w:cs="Times New Roman"/>
          <w:sz w:val="24"/>
          <w:szCs w:val="24"/>
        </w:rPr>
        <w:t xml:space="preserve">munim and Peace Now”, 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Middle </w:t>
      </w:r>
      <w:r w:rsidR="00CE20B9" w:rsidRPr="00810FC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10FCA">
        <w:rPr>
          <w:rFonts w:ascii="Times New Roman" w:hAnsi="Times New Roman" w:cs="Times New Roman"/>
          <w:i/>
          <w:iCs/>
          <w:sz w:val="24"/>
          <w:szCs w:val="24"/>
        </w:rPr>
        <w:t xml:space="preserve">astern Studies, </w:t>
      </w:r>
      <w:r w:rsidRPr="00810FCA">
        <w:rPr>
          <w:rFonts w:ascii="Times New Roman" w:hAnsi="Times New Roman" w:cs="Times New Roman"/>
          <w:sz w:val="24"/>
          <w:szCs w:val="24"/>
        </w:rPr>
        <w:t>28, 3 (1992), pp. 509-530.</w:t>
      </w:r>
    </w:p>
    <w:p w:rsidR="00115CE1" w:rsidRDefault="00115CE1" w:rsidP="00CE20B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pp. </w:t>
      </w:r>
      <w:r w:rsidR="00CE314A">
        <w:rPr>
          <w:rFonts w:ascii="Times New Roman" w:hAnsi="Times New Roman" w:cs="Times New Roman"/>
          <w:sz w:val="24"/>
          <w:szCs w:val="24"/>
        </w:rPr>
        <w:t>391-422.</w:t>
      </w:r>
    </w:p>
    <w:p w:rsidR="009012FD" w:rsidRPr="00810FCA" w:rsidRDefault="009012FD" w:rsidP="00674A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B1D95" w:rsidRPr="00810FCA" w:rsidRDefault="005B1D95" w:rsidP="005B1D95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83E03" w:rsidRPr="00CB64FA" w:rsidRDefault="00483E03" w:rsidP="00483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April 14: No Class- Passover (make up class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on April 28</w:t>
      </w:r>
      <w:r w:rsidRPr="00CB6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)</w:t>
      </w:r>
    </w:p>
    <w:p w:rsidR="008C0289" w:rsidRDefault="008C0289" w:rsidP="00FC251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0289" w:rsidRDefault="008C0289" w:rsidP="00FC251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0289" w:rsidRDefault="008C0289" w:rsidP="00FC251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2DFB" w:rsidRPr="00AB5577" w:rsidRDefault="00AC4627" w:rsidP="00CB64FA">
      <w:pPr>
        <w:jc w:val="center"/>
        <w:rPr>
          <w:rFonts w:ascii="Lucida Handwriting" w:hAnsi="Lucida Handwriting" w:cs="Times New Roman"/>
          <w:b/>
          <w:bCs/>
          <w:sz w:val="36"/>
          <w:szCs w:val="36"/>
          <w:u w:val="single"/>
        </w:rPr>
      </w:pPr>
      <w:r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Part I</w:t>
      </w:r>
      <w:r w:rsidR="008C028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I</w:t>
      </w:r>
      <w:r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I: </w:t>
      </w:r>
      <w:r w:rsidR="000B0D6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War</w:t>
      </w:r>
      <w:r w:rsidR="00FC251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, </w:t>
      </w:r>
      <w:r w:rsidR="000B0D6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Hopes for Peace</w:t>
      </w:r>
      <w:r w:rsidR="00984CC5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,</w:t>
      </w:r>
      <w:r w:rsidR="000B0D6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 </w:t>
      </w:r>
      <w:proofErr w:type="gramStart"/>
      <w:r w:rsidR="00AB5577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</w:rPr>
        <w:t>and</w:t>
      </w:r>
      <w:r w:rsidR="00AB5577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 </w:t>
      </w:r>
      <w:r w:rsidR="00FC251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 Changes</w:t>
      </w:r>
      <w:proofErr w:type="gramEnd"/>
      <w:r w:rsidR="00FC251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 xml:space="preserve"> in Israeli Society </w:t>
      </w:r>
      <w:r w:rsidR="000B0D69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1982-20</w:t>
      </w:r>
      <w:r w:rsidR="002302CA" w:rsidRPr="00CB64FA">
        <w:rPr>
          <w:rFonts w:ascii="Lucida Handwriting" w:hAnsi="Lucida Handwriting" w:cs="Times New Roman"/>
          <w:b/>
          <w:bCs/>
          <w:sz w:val="36"/>
          <w:szCs w:val="36"/>
          <w:highlight w:val="darkGray"/>
          <w:u w:val="single"/>
        </w:rPr>
        <w:t>12</w:t>
      </w:r>
    </w:p>
    <w:p w:rsidR="00081139" w:rsidRPr="00AB5577" w:rsidRDefault="00081139" w:rsidP="000D6C48">
      <w:pPr>
        <w:jc w:val="left"/>
        <w:rPr>
          <w:rFonts w:ascii="Lucida Handwriting" w:hAnsi="Lucida Handwriting" w:cs="Times New Roman"/>
          <w:b/>
          <w:bCs/>
          <w:sz w:val="36"/>
          <w:szCs w:val="36"/>
          <w:u w:val="single"/>
        </w:rPr>
      </w:pPr>
    </w:p>
    <w:p w:rsidR="006A2DFB" w:rsidRPr="00810FCA" w:rsidRDefault="006A2DFB" w:rsidP="002C5951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7D2A" w:rsidRPr="00CB64FA" w:rsidRDefault="00CB64FA" w:rsidP="00483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April </w:t>
      </w:r>
      <w:proofErr w:type="gramStart"/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21</w:t>
      </w:r>
      <w:r w:rsidR="005961E7"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424934"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:</w:t>
      </w:r>
      <w:proofErr w:type="gramEnd"/>
      <w:r w:rsidR="00424934"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984CC5"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1</w:t>
      </w:r>
      <w:r w:rsidR="00C623B6" w:rsidRPr="00CB64F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982 War and Israeli Society</w:t>
      </w:r>
    </w:p>
    <w:p w:rsidR="004E4841" w:rsidRDefault="004E4841" w:rsidP="00A23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841" w:rsidRPr="00180287" w:rsidRDefault="004E4841" w:rsidP="004E4841">
      <w:pPr>
        <w:ind w:left="720" w:hanging="72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4841" w:rsidRPr="00810FCA" w:rsidRDefault="004E4841" w:rsidP="00A23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334" w:rsidRPr="00810FCA" w:rsidRDefault="00F92334" w:rsidP="000B6BC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Source:</w:t>
      </w:r>
    </w:p>
    <w:p w:rsidR="008473A7" w:rsidRPr="00810FCA" w:rsidRDefault="00F92334" w:rsidP="007D045C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 xml:space="preserve">Amos Oz, </w:t>
      </w:r>
      <w:r w:rsidR="00323DD4" w:rsidRPr="00810FCA">
        <w:rPr>
          <w:rFonts w:ascii="Times New Roman" w:hAnsi="Times New Roman" w:cs="Times New Roman"/>
          <w:sz w:val="24"/>
          <w:szCs w:val="24"/>
        </w:rPr>
        <w:t>“On Behalf of Pluralism”, December 1982, Rabinowitz &amp;</w:t>
      </w:r>
      <w:r w:rsidR="00984CC5">
        <w:rPr>
          <w:rFonts w:ascii="Times New Roman" w:hAnsi="Times New Roman" w:cs="Times New Roman"/>
          <w:sz w:val="24"/>
          <w:szCs w:val="24"/>
        </w:rPr>
        <w:t xml:space="preserve"> </w:t>
      </w:r>
      <w:r w:rsidR="00323DD4" w:rsidRPr="00810FCA">
        <w:rPr>
          <w:rFonts w:ascii="Times New Roman" w:hAnsi="Times New Roman" w:cs="Times New Roman"/>
          <w:sz w:val="24"/>
          <w:szCs w:val="24"/>
        </w:rPr>
        <w:t>Reinhartz, pp. 412-414.</w:t>
      </w:r>
    </w:p>
    <w:p w:rsidR="00C73A6A" w:rsidRPr="00810FCA" w:rsidRDefault="00C73A6A" w:rsidP="000B6BC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67D2A" w:rsidRPr="00810FCA" w:rsidRDefault="008473A7" w:rsidP="00C623B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 xml:space="preserve">Reading: </w:t>
      </w:r>
    </w:p>
    <w:p w:rsidR="00C623B6" w:rsidRDefault="00C623B6" w:rsidP="00C623B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Colin Shindler, pp.175-197</w:t>
      </w:r>
    </w:p>
    <w:p w:rsidR="00C36607" w:rsidRDefault="00424934" w:rsidP="00CB64FA">
      <w:pPr>
        <w:autoSpaceDE w:val="0"/>
        <w:autoSpaceDN w:val="0"/>
        <w:adjustRightInd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C378E9">
        <w:rPr>
          <w:rFonts w:asciiTheme="majorBidi" w:hAnsiTheme="majorBidi" w:cstheme="majorBidi"/>
          <w:sz w:val="24"/>
          <w:szCs w:val="24"/>
        </w:rPr>
        <w:t>Eyal</w:t>
      </w:r>
      <w:proofErr w:type="spellEnd"/>
      <w:r w:rsidRPr="00C378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78E9">
        <w:rPr>
          <w:rFonts w:asciiTheme="majorBidi" w:hAnsiTheme="majorBidi" w:cstheme="majorBidi"/>
          <w:sz w:val="24"/>
          <w:szCs w:val="24"/>
        </w:rPr>
        <w:t>Zisser</w:t>
      </w:r>
      <w:proofErr w:type="spellEnd"/>
      <w:r w:rsidRPr="00C378E9">
        <w:rPr>
          <w:rFonts w:asciiTheme="majorBidi" w:hAnsiTheme="majorBidi" w:cstheme="majorBidi"/>
          <w:sz w:val="24"/>
          <w:szCs w:val="24"/>
        </w:rPr>
        <w:t>, “The 1982 "Peace of Galill</w:t>
      </w:r>
      <w:r w:rsidR="00CB64FA">
        <w:rPr>
          <w:rFonts w:asciiTheme="majorBidi" w:hAnsiTheme="majorBidi" w:cstheme="majorBidi"/>
          <w:sz w:val="24"/>
          <w:szCs w:val="24"/>
        </w:rPr>
        <w:t xml:space="preserve">ee" War: Looking Back in </w:t>
      </w:r>
      <w:proofErr w:type="spellStart"/>
      <w:r w:rsidR="00CB64FA">
        <w:rPr>
          <w:rFonts w:asciiTheme="majorBidi" w:hAnsiTheme="majorBidi" w:cstheme="majorBidi"/>
          <w:sz w:val="24"/>
          <w:szCs w:val="24"/>
        </w:rPr>
        <w:t>Anger”</w:t>
      </w:r>
      <w:r w:rsidRPr="00C378E9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C378E9">
        <w:rPr>
          <w:rFonts w:asciiTheme="majorBidi" w:hAnsiTheme="majorBidi" w:cstheme="majorBidi"/>
          <w:sz w:val="24"/>
          <w:szCs w:val="24"/>
        </w:rPr>
        <w:t xml:space="preserve"> Bar-On, </w:t>
      </w:r>
      <w:r w:rsidRPr="00C378E9">
        <w:rPr>
          <w:rFonts w:asciiTheme="majorBidi" w:hAnsiTheme="majorBidi" w:cstheme="majorBidi"/>
          <w:i/>
          <w:iCs/>
          <w:sz w:val="24"/>
          <w:szCs w:val="24"/>
        </w:rPr>
        <w:t>A Never-Ending Conflict</w:t>
      </w:r>
      <w:r w:rsidRPr="00C378E9">
        <w:rPr>
          <w:rFonts w:asciiTheme="majorBidi" w:hAnsiTheme="majorBidi" w:cstheme="majorBidi"/>
          <w:sz w:val="24"/>
          <w:szCs w:val="24"/>
        </w:rPr>
        <w:t>, pp. 194-210</w:t>
      </w:r>
    </w:p>
    <w:p w:rsidR="00311C5B" w:rsidRPr="00C378E9" w:rsidRDefault="00311C5B" w:rsidP="004249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289" w:rsidRDefault="00424934" w:rsidP="00597B75">
      <w:pPr>
        <w:jc w:val="left"/>
        <w:rPr>
          <w:rFonts w:ascii="Times New Roman" w:hAnsi="Times New Roman" w:cs="Times New Roman"/>
          <w:sz w:val="24"/>
          <w:szCs w:val="24"/>
        </w:rPr>
      </w:pPr>
      <w:r w:rsidRPr="00311C5B">
        <w:rPr>
          <w:rFonts w:ascii="Times New Roman" w:hAnsi="Times New Roman" w:cs="Times New Roman"/>
          <w:b/>
          <w:i/>
          <w:sz w:val="24"/>
          <w:szCs w:val="24"/>
        </w:rPr>
        <w:t>Watch the Movie: Waltz with Bashir</w:t>
      </w:r>
      <w:r w:rsidR="0031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C5B" w:rsidRPr="00311C5B">
        <w:rPr>
          <w:rFonts w:ascii="Times New Roman" w:hAnsi="Times New Roman" w:cs="Times New Roman"/>
          <w:sz w:val="24"/>
          <w:szCs w:val="24"/>
        </w:rPr>
        <w:t>(</w:t>
      </w:r>
      <w:r w:rsidR="00597B75">
        <w:rPr>
          <w:rFonts w:ascii="Times New Roman" w:hAnsi="Times New Roman" w:cs="Times New Roman"/>
          <w:sz w:val="24"/>
          <w:szCs w:val="24"/>
        </w:rPr>
        <w:t>OCRA</w:t>
      </w:r>
      <w:r w:rsidR="00311C5B" w:rsidRPr="00311C5B">
        <w:rPr>
          <w:rFonts w:ascii="Times New Roman" w:hAnsi="Times New Roman" w:cs="Times New Roman"/>
          <w:sz w:val="24"/>
          <w:szCs w:val="24"/>
        </w:rPr>
        <w:t>)</w:t>
      </w:r>
    </w:p>
    <w:p w:rsidR="00CB64FA" w:rsidRDefault="00CB64FA" w:rsidP="00597B7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4934" w:rsidRDefault="00424934" w:rsidP="00C623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289" w:rsidRDefault="008C0289" w:rsidP="00C623B6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0376" w:rsidRPr="00EB146A" w:rsidRDefault="00CB64FA" w:rsidP="00483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April 2</w:t>
      </w:r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8</w:t>
      </w:r>
      <w:r w:rsidR="00C378E9"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: </w:t>
      </w:r>
      <w:r w:rsidR="00E41B6A"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The “Oslo Accord and </w:t>
      </w:r>
      <w:proofErr w:type="gramStart"/>
      <w:r w:rsidR="00E41B6A"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the </w:t>
      </w:r>
      <w:r w:rsidR="00867D2A"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Assassination</w:t>
      </w:r>
      <w:proofErr w:type="gramEnd"/>
      <w:r w:rsidR="00867D2A" w:rsidRPr="00EB146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of Yitzhak Rabin and Israeli Society</w:t>
      </w:r>
    </w:p>
    <w:p w:rsidR="00962043" w:rsidRPr="00EB146A" w:rsidRDefault="00962043" w:rsidP="00E41B6A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680969" w:rsidRDefault="00867D2A" w:rsidP="005B7C4C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Source:</w:t>
      </w:r>
      <w:r w:rsidRPr="00810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16" w:rsidRPr="00810FCA" w:rsidRDefault="00483916" w:rsidP="004839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Yitzhak Rabin, “Speech to the Knesset on the 1992 Elections, July 13, 1992,</w:t>
      </w:r>
      <w:r w:rsidRPr="00483916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 xml:space="preserve">in: </w:t>
      </w:r>
    </w:p>
    <w:p w:rsidR="00E41B6A" w:rsidRPr="00810FCA" w:rsidRDefault="00483916" w:rsidP="00483916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Rabinowitz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Reinhartz, pp. 4</w:t>
      </w:r>
      <w:r>
        <w:rPr>
          <w:rFonts w:ascii="Times New Roman" w:hAnsi="Times New Roman" w:cs="Times New Roman"/>
          <w:sz w:val="24"/>
          <w:szCs w:val="24"/>
        </w:rPr>
        <w:t>46-449.</w:t>
      </w:r>
    </w:p>
    <w:p w:rsidR="006D33DC" w:rsidRPr="00810FCA" w:rsidRDefault="00867D2A" w:rsidP="005B7C4C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lastRenderedPageBreak/>
        <w:t xml:space="preserve">Shamgar Commission </w:t>
      </w:r>
      <w:r w:rsidR="005B7C4C" w:rsidRPr="00810FCA">
        <w:rPr>
          <w:rFonts w:ascii="Times New Roman" w:hAnsi="Times New Roman" w:cs="Times New Roman"/>
          <w:sz w:val="24"/>
          <w:szCs w:val="24"/>
        </w:rPr>
        <w:t xml:space="preserve">, “Report on Yitzhak Rabin’s Assassination”, 1996, in: </w:t>
      </w:r>
    </w:p>
    <w:p w:rsidR="00867D2A" w:rsidRPr="00810FCA" w:rsidRDefault="005B7C4C" w:rsidP="005B7C4C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Rabinowitz &amp;</w:t>
      </w:r>
      <w:r w:rsidR="00984CC5"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Reinhartz, pp. 456-458.</w:t>
      </w:r>
    </w:p>
    <w:p w:rsidR="00AA0A21" w:rsidRPr="00810FCA" w:rsidRDefault="00AA0A21" w:rsidP="005B7C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139" w:rsidRDefault="00081139" w:rsidP="005B7C4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B20F9D" w:rsidRDefault="00B20F9D" w:rsidP="005B7C4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10FCA">
        <w:rPr>
          <w:rFonts w:ascii="Times New Roman" w:hAnsi="Times New Roman" w:cs="Times New Roman"/>
          <w:sz w:val="24"/>
          <w:szCs w:val="24"/>
        </w:rPr>
        <w:t>Colin Shindler, pp</w:t>
      </w:r>
      <w:r>
        <w:rPr>
          <w:rFonts w:ascii="Times New Roman" w:hAnsi="Times New Roman" w:cs="Times New Roman"/>
          <w:sz w:val="24"/>
          <w:szCs w:val="24"/>
        </w:rPr>
        <w:t>227-236.</w:t>
      </w:r>
    </w:p>
    <w:p w:rsidR="00E41B6A" w:rsidRPr="00E41B6A" w:rsidRDefault="00E41B6A" w:rsidP="00734A72">
      <w:pPr>
        <w:autoSpaceDE w:val="0"/>
        <w:autoSpaceDN w:val="0"/>
        <w:adjustRightInd w:val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 w:cs="Symbol"/>
        </w:rPr>
        <w:t></w:t>
      </w:r>
      <w:r w:rsidRPr="00E41B6A">
        <w:rPr>
          <w:rFonts w:asciiTheme="majorBidi" w:hAnsiTheme="majorBidi" w:cstheme="majorBidi"/>
          <w:sz w:val="24"/>
          <w:szCs w:val="24"/>
        </w:rPr>
        <w:t xml:space="preserve">Amnon Rubinstein, “Toward Rabin’s Assassination,” </w:t>
      </w:r>
      <w:r w:rsidRPr="00E41B6A">
        <w:rPr>
          <w:rFonts w:asciiTheme="majorBidi" w:hAnsiTheme="majorBidi" w:cstheme="majorBidi"/>
          <w:i/>
          <w:iCs/>
          <w:sz w:val="24"/>
          <w:szCs w:val="24"/>
        </w:rPr>
        <w:t>From Herzl to Rabin</w:t>
      </w:r>
      <w:r w:rsidRPr="00E41B6A">
        <w:rPr>
          <w:rFonts w:asciiTheme="majorBidi" w:hAnsiTheme="majorBidi" w:cstheme="majorBidi"/>
          <w:sz w:val="24"/>
          <w:szCs w:val="24"/>
        </w:rPr>
        <w:t>, 1</w:t>
      </w:r>
      <w:r w:rsidR="00734A72">
        <w:rPr>
          <w:rFonts w:asciiTheme="majorBidi" w:hAnsiTheme="majorBidi" w:cstheme="majorBidi"/>
          <w:sz w:val="24"/>
          <w:szCs w:val="24"/>
        </w:rPr>
        <w:t>11</w:t>
      </w:r>
      <w:r w:rsidRPr="00E41B6A">
        <w:rPr>
          <w:rFonts w:asciiTheme="majorBidi" w:hAnsiTheme="majorBidi" w:cstheme="majorBidi"/>
          <w:sz w:val="24"/>
          <w:szCs w:val="24"/>
        </w:rPr>
        <w:t>-158</w:t>
      </w:r>
    </w:p>
    <w:p w:rsidR="00E94822" w:rsidRDefault="00E41B6A" w:rsidP="002A4430">
      <w:pPr>
        <w:jc w:val="left"/>
        <w:rPr>
          <w:rFonts w:ascii="Times New Roman" w:hAnsi="Times New Roman" w:cs="Times New Roman"/>
          <w:sz w:val="24"/>
          <w:szCs w:val="24"/>
        </w:rPr>
      </w:pPr>
      <w:r w:rsidRPr="00E41B6A">
        <w:rPr>
          <w:rFonts w:asciiTheme="majorBidi" w:hAnsiTheme="majorBidi" w:cstheme="majorBidi"/>
          <w:sz w:val="24"/>
          <w:szCs w:val="24"/>
        </w:rPr>
        <w:t xml:space="preserve"> </w:t>
      </w:r>
      <w:r w:rsidR="00E94822" w:rsidRPr="00810FCA">
        <w:rPr>
          <w:rFonts w:ascii="Times New Roman" w:hAnsi="Times New Roman" w:cs="Times New Roman"/>
          <w:sz w:val="24"/>
          <w:szCs w:val="24"/>
        </w:rPr>
        <w:t>Yoram P</w:t>
      </w:r>
      <w:r w:rsidR="00984CC5">
        <w:rPr>
          <w:rFonts w:ascii="Times New Roman" w:hAnsi="Times New Roman" w:cs="Times New Roman"/>
          <w:sz w:val="24"/>
          <w:szCs w:val="24"/>
        </w:rPr>
        <w:t>eri, “The Assassination: Causes</w:t>
      </w:r>
      <w:r w:rsidR="00E94822" w:rsidRPr="00810FCA">
        <w:rPr>
          <w:rFonts w:ascii="Times New Roman" w:hAnsi="Times New Roman" w:cs="Times New Roman"/>
          <w:sz w:val="24"/>
          <w:szCs w:val="24"/>
        </w:rPr>
        <w:t>,</w:t>
      </w:r>
      <w:r w:rsidR="00984CC5">
        <w:rPr>
          <w:rFonts w:ascii="Times New Roman" w:hAnsi="Times New Roman" w:cs="Times New Roman"/>
          <w:sz w:val="24"/>
          <w:szCs w:val="24"/>
        </w:rPr>
        <w:t xml:space="preserve"> </w:t>
      </w:r>
      <w:r w:rsidR="00E94822" w:rsidRPr="00810FCA">
        <w:rPr>
          <w:rFonts w:ascii="Times New Roman" w:hAnsi="Times New Roman" w:cs="Times New Roman"/>
          <w:sz w:val="24"/>
          <w:szCs w:val="24"/>
        </w:rPr>
        <w:t>Mean</w:t>
      </w:r>
      <w:r w:rsidR="00984CC5">
        <w:rPr>
          <w:rFonts w:ascii="Times New Roman" w:hAnsi="Times New Roman" w:cs="Times New Roman"/>
          <w:sz w:val="24"/>
          <w:szCs w:val="24"/>
        </w:rPr>
        <w:t>ing, Outcomes” in: Yoram Peri (e</w:t>
      </w:r>
      <w:r w:rsidR="00E94822" w:rsidRPr="00810FCA">
        <w:rPr>
          <w:rFonts w:ascii="Times New Roman" w:hAnsi="Times New Roman" w:cs="Times New Roman"/>
          <w:sz w:val="24"/>
          <w:szCs w:val="24"/>
        </w:rPr>
        <w:t xml:space="preserve">d.), </w:t>
      </w:r>
      <w:r w:rsidR="00E94822" w:rsidRPr="00810FCA">
        <w:rPr>
          <w:rFonts w:ascii="Times New Roman" w:hAnsi="Times New Roman" w:cs="Times New Roman"/>
          <w:i/>
          <w:iCs/>
          <w:sz w:val="24"/>
          <w:szCs w:val="24"/>
        </w:rPr>
        <w:t>The Assassination of Yitzhak Rabin</w:t>
      </w:r>
      <w:r w:rsidR="00992D81" w:rsidRPr="00810FCA">
        <w:rPr>
          <w:rFonts w:ascii="Times New Roman" w:hAnsi="Times New Roman" w:cs="Times New Roman"/>
          <w:sz w:val="24"/>
          <w:szCs w:val="24"/>
        </w:rPr>
        <w:t>, Stanford, Stanford University Press, 2000, pp. 25-6</w:t>
      </w:r>
      <w:r w:rsidR="00EE17A6">
        <w:rPr>
          <w:rFonts w:ascii="Times New Roman" w:hAnsi="Times New Roman" w:cs="Times New Roman"/>
          <w:sz w:val="24"/>
          <w:szCs w:val="24"/>
        </w:rPr>
        <w:t>2</w:t>
      </w:r>
      <w:r w:rsidR="002A4430">
        <w:rPr>
          <w:rFonts w:ascii="Times New Roman" w:hAnsi="Times New Roman" w:cs="Times New Roman"/>
          <w:sz w:val="24"/>
          <w:szCs w:val="24"/>
        </w:rPr>
        <w:t>.</w:t>
      </w:r>
    </w:p>
    <w:p w:rsidR="00CB64FA" w:rsidRDefault="00CB64FA" w:rsidP="002A4430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>, pp. 422-460</w:t>
      </w:r>
    </w:p>
    <w:p w:rsidR="00A424FC" w:rsidRDefault="00A424FC" w:rsidP="005B7C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287" w:rsidRDefault="00180287" w:rsidP="005B7C4C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706B" w:rsidRPr="0071682A" w:rsidRDefault="00136FFC" w:rsidP="00483E03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</w:rPr>
      </w:pPr>
      <w:r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April </w:t>
      </w:r>
      <w:r w:rsidR="00483E0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30</w:t>
      </w:r>
      <w:r w:rsid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:</w:t>
      </w:r>
      <w:r w:rsidR="002819D3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</w:t>
      </w:r>
      <w:r w:rsidR="008F706B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After</w:t>
      </w:r>
      <w:r w:rsidR="00C52051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 Rabin: T</w:t>
      </w:r>
      <w:r w:rsidR="008F706B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he </w:t>
      </w:r>
      <w:r w:rsidR="00C52051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Run-up to the </w:t>
      </w:r>
      <w:r w:rsidR="008F706B" w:rsidRPr="0071682A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Second Lebanon War (2006)</w:t>
      </w:r>
    </w:p>
    <w:p w:rsidR="002A4430" w:rsidRPr="0071682A" w:rsidRDefault="002A4430" w:rsidP="002A4430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71682A">
        <w:rPr>
          <w:rFonts w:ascii="Times New Roman" w:hAnsi="Times New Roman" w:cs="Times New Roman"/>
          <w:sz w:val="24"/>
          <w:szCs w:val="24"/>
          <w:u w:val="single"/>
        </w:rPr>
        <w:t>Sources</w:t>
      </w:r>
    </w:p>
    <w:p w:rsidR="008F706B" w:rsidRDefault="002A4430" w:rsidP="005B7C4C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Rabinowitz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CA">
        <w:rPr>
          <w:rFonts w:ascii="Times New Roman" w:hAnsi="Times New Roman" w:cs="Times New Roman"/>
          <w:sz w:val="24"/>
          <w:szCs w:val="24"/>
        </w:rPr>
        <w:t>Reinhartz, pp</w:t>
      </w:r>
      <w:r>
        <w:rPr>
          <w:rFonts w:ascii="Times New Roman" w:hAnsi="Times New Roman" w:cs="Times New Roman"/>
          <w:sz w:val="24"/>
          <w:szCs w:val="24"/>
        </w:rPr>
        <w:t>533-537</w:t>
      </w:r>
      <w:proofErr w:type="gramStart"/>
      <w:r>
        <w:rPr>
          <w:rFonts w:ascii="Times New Roman" w:hAnsi="Times New Roman" w:cs="Times New Roman"/>
          <w:sz w:val="24"/>
          <w:szCs w:val="24"/>
        </w:rPr>
        <w:t>;543</w:t>
      </w:r>
      <w:proofErr w:type="gramEnd"/>
      <w:r>
        <w:rPr>
          <w:rFonts w:ascii="Times New Roman" w:hAnsi="Times New Roman" w:cs="Times New Roman"/>
          <w:sz w:val="24"/>
          <w:szCs w:val="24"/>
        </w:rPr>
        <w:t>-544;553-555</w:t>
      </w:r>
    </w:p>
    <w:p w:rsidR="002A4430" w:rsidRDefault="002A4430" w:rsidP="005B7C4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A4430" w:rsidRDefault="008F706B" w:rsidP="002A443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  <w:u w:val="single"/>
        </w:rPr>
        <w:t>Reading:</w:t>
      </w:r>
      <w:r w:rsidRPr="00810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06B" w:rsidRDefault="008F706B" w:rsidP="002A4430">
      <w:pPr>
        <w:jc w:val="left"/>
        <w:rPr>
          <w:rFonts w:ascii="Times New Roman" w:hAnsi="Times New Roman" w:cs="Times New Roman"/>
          <w:sz w:val="24"/>
          <w:szCs w:val="24"/>
        </w:rPr>
      </w:pPr>
      <w:r w:rsidRPr="00810FCA">
        <w:rPr>
          <w:rFonts w:ascii="Times New Roman" w:hAnsi="Times New Roman" w:cs="Times New Roman"/>
          <w:sz w:val="24"/>
          <w:szCs w:val="24"/>
        </w:rPr>
        <w:t>Colin Shindler, pp</w:t>
      </w:r>
      <w:r>
        <w:rPr>
          <w:rFonts w:ascii="Times New Roman" w:hAnsi="Times New Roman" w:cs="Times New Roman"/>
          <w:sz w:val="24"/>
          <w:szCs w:val="24"/>
        </w:rPr>
        <w:t>. 267-3</w:t>
      </w:r>
      <w:r w:rsidR="002A44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82A" w:rsidRDefault="0071682A" w:rsidP="002A44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Benny Morris, pp. 652-676</w:t>
      </w:r>
    </w:p>
    <w:p w:rsidR="00727336" w:rsidRPr="00810FCA" w:rsidRDefault="00727336" w:rsidP="008F70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3B9F" w:rsidRDefault="008D3B9F" w:rsidP="001F5F8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682A" w:rsidRPr="0071682A" w:rsidRDefault="0071682A" w:rsidP="007168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68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Final </w:t>
      </w:r>
      <w:proofErr w:type="spellStart"/>
      <w:r w:rsidRPr="0071682A">
        <w:rPr>
          <w:rFonts w:ascii="Times New Roman" w:hAnsi="Times New Roman" w:cs="Times New Roman"/>
          <w:b/>
          <w:bCs/>
          <w:sz w:val="28"/>
          <w:szCs w:val="28"/>
          <w:u w:val="single"/>
        </w:rPr>
        <w:t>Paer</w:t>
      </w:r>
      <w:proofErr w:type="spellEnd"/>
      <w:r w:rsidRPr="007168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due: May 10th</w:t>
      </w:r>
    </w:p>
    <w:p w:rsidR="000F51E2" w:rsidRPr="0071682A" w:rsidRDefault="000F51E2" w:rsidP="00716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51E2" w:rsidRPr="0071682A" w:rsidSect="00F5083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98" w:rsidRDefault="00277198" w:rsidP="001D6620">
      <w:r>
        <w:separator/>
      </w:r>
    </w:p>
  </w:endnote>
  <w:endnote w:type="continuationSeparator" w:id="0">
    <w:p w:rsidR="00277198" w:rsidRDefault="00277198" w:rsidP="001D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6A" w:rsidRDefault="00EB146A">
    <w:pPr>
      <w:pStyle w:val="Footer"/>
      <w:jc w:val="center"/>
    </w:pPr>
    <w:fldSimple w:instr=" PAGE   \* MERGEFORMAT ">
      <w:r w:rsidR="00483E03">
        <w:rPr>
          <w:noProof/>
        </w:rPr>
        <w:t>7</w:t>
      </w:r>
    </w:fldSimple>
  </w:p>
  <w:p w:rsidR="00EB146A" w:rsidRDefault="00EB1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98" w:rsidRDefault="00277198" w:rsidP="001D6620">
      <w:r>
        <w:separator/>
      </w:r>
    </w:p>
  </w:footnote>
  <w:footnote w:type="continuationSeparator" w:id="0">
    <w:p w:rsidR="00277198" w:rsidRDefault="00277198" w:rsidP="001D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5AE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56B25"/>
    <w:multiLevelType w:val="multilevel"/>
    <w:tmpl w:val="8BB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767B"/>
    <w:multiLevelType w:val="multilevel"/>
    <w:tmpl w:val="622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6322"/>
    <w:multiLevelType w:val="hybridMultilevel"/>
    <w:tmpl w:val="9EA0D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2F73"/>
    <w:multiLevelType w:val="hybridMultilevel"/>
    <w:tmpl w:val="3444916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55E23A1"/>
    <w:multiLevelType w:val="hybridMultilevel"/>
    <w:tmpl w:val="C7AA6B14"/>
    <w:lvl w:ilvl="0" w:tplc="7186AE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5853C5"/>
    <w:multiLevelType w:val="multilevel"/>
    <w:tmpl w:val="D35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53C20"/>
    <w:multiLevelType w:val="hybridMultilevel"/>
    <w:tmpl w:val="79262828"/>
    <w:lvl w:ilvl="0" w:tplc="F3C0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524E6"/>
    <w:rsid w:val="00001948"/>
    <w:rsid w:val="000048F2"/>
    <w:rsid w:val="00010376"/>
    <w:rsid w:val="000126BC"/>
    <w:rsid w:val="000308FC"/>
    <w:rsid w:val="00037907"/>
    <w:rsid w:val="00042537"/>
    <w:rsid w:val="00043BCE"/>
    <w:rsid w:val="00056972"/>
    <w:rsid w:val="000662DA"/>
    <w:rsid w:val="00066FB6"/>
    <w:rsid w:val="00073B07"/>
    <w:rsid w:val="00074D2F"/>
    <w:rsid w:val="00081139"/>
    <w:rsid w:val="0008143E"/>
    <w:rsid w:val="00083B4B"/>
    <w:rsid w:val="000851B6"/>
    <w:rsid w:val="000866A1"/>
    <w:rsid w:val="000874E9"/>
    <w:rsid w:val="000A457D"/>
    <w:rsid w:val="000A5E1A"/>
    <w:rsid w:val="000B0D69"/>
    <w:rsid w:val="000B6BC6"/>
    <w:rsid w:val="000C04E0"/>
    <w:rsid w:val="000C56C3"/>
    <w:rsid w:val="000C64CE"/>
    <w:rsid w:val="000C7083"/>
    <w:rsid w:val="000D093B"/>
    <w:rsid w:val="000D19F4"/>
    <w:rsid w:val="000D6C48"/>
    <w:rsid w:val="000E06FE"/>
    <w:rsid w:val="000E43E0"/>
    <w:rsid w:val="000E7E3F"/>
    <w:rsid w:val="000F2116"/>
    <w:rsid w:val="000F50AD"/>
    <w:rsid w:val="000F51E2"/>
    <w:rsid w:val="000F7965"/>
    <w:rsid w:val="00111C11"/>
    <w:rsid w:val="00115CE1"/>
    <w:rsid w:val="001238BE"/>
    <w:rsid w:val="00136679"/>
    <w:rsid w:val="00136FFC"/>
    <w:rsid w:val="00142637"/>
    <w:rsid w:val="00144AB3"/>
    <w:rsid w:val="00153C68"/>
    <w:rsid w:val="001605A2"/>
    <w:rsid w:val="001610D8"/>
    <w:rsid w:val="001740AF"/>
    <w:rsid w:val="00180287"/>
    <w:rsid w:val="001814F9"/>
    <w:rsid w:val="001855F7"/>
    <w:rsid w:val="0019320D"/>
    <w:rsid w:val="001A477A"/>
    <w:rsid w:val="001B00B8"/>
    <w:rsid w:val="001B3199"/>
    <w:rsid w:val="001B7CBF"/>
    <w:rsid w:val="001C7714"/>
    <w:rsid w:val="001D1BE2"/>
    <w:rsid w:val="001D6620"/>
    <w:rsid w:val="001E616D"/>
    <w:rsid w:val="001F2144"/>
    <w:rsid w:val="001F300F"/>
    <w:rsid w:val="001F5118"/>
    <w:rsid w:val="001F5F89"/>
    <w:rsid w:val="002061A4"/>
    <w:rsid w:val="00226904"/>
    <w:rsid w:val="002302CA"/>
    <w:rsid w:val="002316A0"/>
    <w:rsid w:val="0023172D"/>
    <w:rsid w:val="00231B61"/>
    <w:rsid w:val="00231E7E"/>
    <w:rsid w:val="002365DC"/>
    <w:rsid w:val="00243E4A"/>
    <w:rsid w:val="00245833"/>
    <w:rsid w:val="002524E6"/>
    <w:rsid w:val="00255232"/>
    <w:rsid w:val="00255478"/>
    <w:rsid w:val="00262240"/>
    <w:rsid w:val="002725D1"/>
    <w:rsid w:val="002729A1"/>
    <w:rsid w:val="00277198"/>
    <w:rsid w:val="002819D3"/>
    <w:rsid w:val="0028590F"/>
    <w:rsid w:val="00292941"/>
    <w:rsid w:val="00292F2E"/>
    <w:rsid w:val="002A0628"/>
    <w:rsid w:val="002A2D36"/>
    <w:rsid w:val="002A4430"/>
    <w:rsid w:val="002A4FBF"/>
    <w:rsid w:val="002A56E2"/>
    <w:rsid w:val="002B047D"/>
    <w:rsid w:val="002B0F0C"/>
    <w:rsid w:val="002C461F"/>
    <w:rsid w:val="002C5722"/>
    <w:rsid w:val="002C5951"/>
    <w:rsid w:val="002D40C8"/>
    <w:rsid w:val="002D425F"/>
    <w:rsid w:val="002E0285"/>
    <w:rsid w:val="002E4110"/>
    <w:rsid w:val="002E426F"/>
    <w:rsid w:val="002E7317"/>
    <w:rsid w:val="002F2FEA"/>
    <w:rsid w:val="002F61B1"/>
    <w:rsid w:val="003109AB"/>
    <w:rsid w:val="00311C5B"/>
    <w:rsid w:val="003125F4"/>
    <w:rsid w:val="00314580"/>
    <w:rsid w:val="00315AF0"/>
    <w:rsid w:val="003164C1"/>
    <w:rsid w:val="0031756A"/>
    <w:rsid w:val="00323DD4"/>
    <w:rsid w:val="00326578"/>
    <w:rsid w:val="00327C06"/>
    <w:rsid w:val="00327CF6"/>
    <w:rsid w:val="00330EC4"/>
    <w:rsid w:val="00341A2F"/>
    <w:rsid w:val="00345321"/>
    <w:rsid w:val="003465A9"/>
    <w:rsid w:val="00352551"/>
    <w:rsid w:val="00353072"/>
    <w:rsid w:val="0037247A"/>
    <w:rsid w:val="003729F6"/>
    <w:rsid w:val="00372E50"/>
    <w:rsid w:val="00373020"/>
    <w:rsid w:val="0037429E"/>
    <w:rsid w:val="0037577F"/>
    <w:rsid w:val="003901BF"/>
    <w:rsid w:val="00391CAC"/>
    <w:rsid w:val="003921C2"/>
    <w:rsid w:val="00393EFE"/>
    <w:rsid w:val="003A1D56"/>
    <w:rsid w:val="003A3274"/>
    <w:rsid w:val="003B294B"/>
    <w:rsid w:val="003B76AF"/>
    <w:rsid w:val="003C12A3"/>
    <w:rsid w:val="003C4B65"/>
    <w:rsid w:val="003C7BF2"/>
    <w:rsid w:val="003D08F9"/>
    <w:rsid w:val="003D19C9"/>
    <w:rsid w:val="003D51BE"/>
    <w:rsid w:val="003E0F92"/>
    <w:rsid w:val="003E173D"/>
    <w:rsid w:val="003E1AAC"/>
    <w:rsid w:val="003E3471"/>
    <w:rsid w:val="003F045B"/>
    <w:rsid w:val="003F0473"/>
    <w:rsid w:val="00401F8E"/>
    <w:rsid w:val="004049E9"/>
    <w:rsid w:val="00404A2B"/>
    <w:rsid w:val="0041636A"/>
    <w:rsid w:val="004213F6"/>
    <w:rsid w:val="00423442"/>
    <w:rsid w:val="00424934"/>
    <w:rsid w:val="004255E3"/>
    <w:rsid w:val="00433463"/>
    <w:rsid w:val="0043533A"/>
    <w:rsid w:val="00442A28"/>
    <w:rsid w:val="004464A6"/>
    <w:rsid w:val="0044691B"/>
    <w:rsid w:val="00451836"/>
    <w:rsid w:val="00456B76"/>
    <w:rsid w:val="004638CE"/>
    <w:rsid w:val="004725F2"/>
    <w:rsid w:val="004752B9"/>
    <w:rsid w:val="00476315"/>
    <w:rsid w:val="00483916"/>
    <w:rsid w:val="00483E03"/>
    <w:rsid w:val="004A61F8"/>
    <w:rsid w:val="004B6803"/>
    <w:rsid w:val="004B79D2"/>
    <w:rsid w:val="004C078A"/>
    <w:rsid w:val="004C211D"/>
    <w:rsid w:val="004D1969"/>
    <w:rsid w:val="004D48AC"/>
    <w:rsid w:val="004D576F"/>
    <w:rsid w:val="004D5C53"/>
    <w:rsid w:val="004E33A4"/>
    <w:rsid w:val="004E4841"/>
    <w:rsid w:val="004F316A"/>
    <w:rsid w:val="004F3B08"/>
    <w:rsid w:val="004F432E"/>
    <w:rsid w:val="00502BC9"/>
    <w:rsid w:val="00504232"/>
    <w:rsid w:val="0050503F"/>
    <w:rsid w:val="00507DEB"/>
    <w:rsid w:val="0051489C"/>
    <w:rsid w:val="005164FF"/>
    <w:rsid w:val="00526373"/>
    <w:rsid w:val="005371F8"/>
    <w:rsid w:val="005440F0"/>
    <w:rsid w:val="00545D2A"/>
    <w:rsid w:val="00553F9D"/>
    <w:rsid w:val="005570AF"/>
    <w:rsid w:val="00557942"/>
    <w:rsid w:val="005607E1"/>
    <w:rsid w:val="005652E5"/>
    <w:rsid w:val="00572835"/>
    <w:rsid w:val="0057354B"/>
    <w:rsid w:val="00573A1D"/>
    <w:rsid w:val="00574539"/>
    <w:rsid w:val="0058099C"/>
    <w:rsid w:val="00580BC0"/>
    <w:rsid w:val="005961E7"/>
    <w:rsid w:val="00596A04"/>
    <w:rsid w:val="00596E34"/>
    <w:rsid w:val="00597B75"/>
    <w:rsid w:val="00597DD5"/>
    <w:rsid w:val="00597FA1"/>
    <w:rsid w:val="005A7D5B"/>
    <w:rsid w:val="005B1D95"/>
    <w:rsid w:val="005B2ACF"/>
    <w:rsid w:val="005B7C4C"/>
    <w:rsid w:val="005C1E5D"/>
    <w:rsid w:val="005C3A8A"/>
    <w:rsid w:val="005C3F4A"/>
    <w:rsid w:val="005D23DF"/>
    <w:rsid w:val="005E7C61"/>
    <w:rsid w:val="005F0A7A"/>
    <w:rsid w:val="005F0B2C"/>
    <w:rsid w:val="005F16BA"/>
    <w:rsid w:val="005F47AC"/>
    <w:rsid w:val="005F4CB8"/>
    <w:rsid w:val="005F5329"/>
    <w:rsid w:val="00602CE4"/>
    <w:rsid w:val="00604411"/>
    <w:rsid w:val="00604F6B"/>
    <w:rsid w:val="00613917"/>
    <w:rsid w:val="0061583C"/>
    <w:rsid w:val="00630956"/>
    <w:rsid w:val="00642B8A"/>
    <w:rsid w:val="00644A3D"/>
    <w:rsid w:val="00647D93"/>
    <w:rsid w:val="006536E3"/>
    <w:rsid w:val="006543DE"/>
    <w:rsid w:val="006652D4"/>
    <w:rsid w:val="006673AD"/>
    <w:rsid w:val="00674A97"/>
    <w:rsid w:val="00675191"/>
    <w:rsid w:val="006805CC"/>
    <w:rsid w:val="006806BF"/>
    <w:rsid w:val="00680969"/>
    <w:rsid w:val="00681BF3"/>
    <w:rsid w:val="0068680F"/>
    <w:rsid w:val="00692DE5"/>
    <w:rsid w:val="00694997"/>
    <w:rsid w:val="00697FEA"/>
    <w:rsid w:val="006A100A"/>
    <w:rsid w:val="006A2DFB"/>
    <w:rsid w:val="006A2E5E"/>
    <w:rsid w:val="006A45B3"/>
    <w:rsid w:val="006B50FB"/>
    <w:rsid w:val="006B6290"/>
    <w:rsid w:val="006C1824"/>
    <w:rsid w:val="006C3162"/>
    <w:rsid w:val="006C4E16"/>
    <w:rsid w:val="006C4EF1"/>
    <w:rsid w:val="006D1372"/>
    <w:rsid w:val="006D1761"/>
    <w:rsid w:val="006D33DC"/>
    <w:rsid w:val="006D74D6"/>
    <w:rsid w:val="006E0857"/>
    <w:rsid w:val="006F37B1"/>
    <w:rsid w:val="006F515D"/>
    <w:rsid w:val="006F6280"/>
    <w:rsid w:val="00705FF9"/>
    <w:rsid w:val="007067A5"/>
    <w:rsid w:val="007144AD"/>
    <w:rsid w:val="0071682A"/>
    <w:rsid w:val="00721CB9"/>
    <w:rsid w:val="00723F2B"/>
    <w:rsid w:val="00727336"/>
    <w:rsid w:val="00730282"/>
    <w:rsid w:val="00734A72"/>
    <w:rsid w:val="00735227"/>
    <w:rsid w:val="007413C5"/>
    <w:rsid w:val="00746CAC"/>
    <w:rsid w:val="007527DF"/>
    <w:rsid w:val="007604C1"/>
    <w:rsid w:val="00771F7A"/>
    <w:rsid w:val="00774781"/>
    <w:rsid w:val="00775C86"/>
    <w:rsid w:val="007768F5"/>
    <w:rsid w:val="00786797"/>
    <w:rsid w:val="00795946"/>
    <w:rsid w:val="007B00FD"/>
    <w:rsid w:val="007B0FF5"/>
    <w:rsid w:val="007B75CB"/>
    <w:rsid w:val="007B79CA"/>
    <w:rsid w:val="007C2DD5"/>
    <w:rsid w:val="007C3049"/>
    <w:rsid w:val="007D045C"/>
    <w:rsid w:val="007D0466"/>
    <w:rsid w:val="007D2AF5"/>
    <w:rsid w:val="007D3F1B"/>
    <w:rsid w:val="007D4D27"/>
    <w:rsid w:val="007D4D89"/>
    <w:rsid w:val="007D7393"/>
    <w:rsid w:val="007E0ACD"/>
    <w:rsid w:val="007E1E25"/>
    <w:rsid w:val="007F4195"/>
    <w:rsid w:val="007F4ABB"/>
    <w:rsid w:val="007F6B43"/>
    <w:rsid w:val="0080020F"/>
    <w:rsid w:val="00803BCA"/>
    <w:rsid w:val="00805228"/>
    <w:rsid w:val="00810FCA"/>
    <w:rsid w:val="00814863"/>
    <w:rsid w:val="00835FE4"/>
    <w:rsid w:val="00836A08"/>
    <w:rsid w:val="00840F2E"/>
    <w:rsid w:val="008473A7"/>
    <w:rsid w:val="00862A1C"/>
    <w:rsid w:val="008635EF"/>
    <w:rsid w:val="00865301"/>
    <w:rsid w:val="00867087"/>
    <w:rsid w:val="00867D2A"/>
    <w:rsid w:val="0087077D"/>
    <w:rsid w:val="00871C72"/>
    <w:rsid w:val="00875BD8"/>
    <w:rsid w:val="00876798"/>
    <w:rsid w:val="008915E0"/>
    <w:rsid w:val="00893289"/>
    <w:rsid w:val="00894EF8"/>
    <w:rsid w:val="008958B1"/>
    <w:rsid w:val="008A4474"/>
    <w:rsid w:val="008B6C06"/>
    <w:rsid w:val="008B74F1"/>
    <w:rsid w:val="008C0289"/>
    <w:rsid w:val="008C14D9"/>
    <w:rsid w:val="008C73E2"/>
    <w:rsid w:val="008D3B9F"/>
    <w:rsid w:val="008E2F6B"/>
    <w:rsid w:val="008E4885"/>
    <w:rsid w:val="008F2156"/>
    <w:rsid w:val="008F706B"/>
    <w:rsid w:val="009012FD"/>
    <w:rsid w:val="00907425"/>
    <w:rsid w:val="009109AD"/>
    <w:rsid w:val="009138CB"/>
    <w:rsid w:val="0091663E"/>
    <w:rsid w:val="009220AF"/>
    <w:rsid w:val="00922392"/>
    <w:rsid w:val="00922E9B"/>
    <w:rsid w:val="00930728"/>
    <w:rsid w:val="00931B20"/>
    <w:rsid w:val="00951E61"/>
    <w:rsid w:val="00954E94"/>
    <w:rsid w:val="0096104C"/>
    <w:rsid w:val="00962043"/>
    <w:rsid w:val="00966BF8"/>
    <w:rsid w:val="00966DD4"/>
    <w:rsid w:val="009671A1"/>
    <w:rsid w:val="00967241"/>
    <w:rsid w:val="00980DFD"/>
    <w:rsid w:val="00980F1C"/>
    <w:rsid w:val="00981D49"/>
    <w:rsid w:val="00984CC5"/>
    <w:rsid w:val="0099115B"/>
    <w:rsid w:val="00992D81"/>
    <w:rsid w:val="009A2610"/>
    <w:rsid w:val="009A27A5"/>
    <w:rsid w:val="009A7D1F"/>
    <w:rsid w:val="009B23D0"/>
    <w:rsid w:val="009B30C8"/>
    <w:rsid w:val="009B705F"/>
    <w:rsid w:val="009C00DB"/>
    <w:rsid w:val="009C5927"/>
    <w:rsid w:val="009E3789"/>
    <w:rsid w:val="009E6FF7"/>
    <w:rsid w:val="009E7194"/>
    <w:rsid w:val="009E7A56"/>
    <w:rsid w:val="009F21B3"/>
    <w:rsid w:val="00A05187"/>
    <w:rsid w:val="00A06E39"/>
    <w:rsid w:val="00A146E7"/>
    <w:rsid w:val="00A155E5"/>
    <w:rsid w:val="00A169BB"/>
    <w:rsid w:val="00A23B6D"/>
    <w:rsid w:val="00A31678"/>
    <w:rsid w:val="00A424FC"/>
    <w:rsid w:val="00A43632"/>
    <w:rsid w:val="00A50275"/>
    <w:rsid w:val="00A67016"/>
    <w:rsid w:val="00A77C44"/>
    <w:rsid w:val="00A81789"/>
    <w:rsid w:val="00A839A7"/>
    <w:rsid w:val="00A909E0"/>
    <w:rsid w:val="00AA0A21"/>
    <w:rsid w:val="00AB5577"/>
    <w:rsid w:val="00AB6DA4"/>
    <w:rsid w:val="00AC02D9"/>
    <w:rsid w:val="00AC3BF7"/>
    <w:rsid w:val="00AC4627"/>
    <w:rsid w:val="00AC5FAB"/>
    <w:rsid w:val="00AE3658"/>
    <w:rsid w:val="00AE7DAA"/>
    <w:rsid w:val="00AF2C63"/>
    <w:rsid w:val="00AF74C6"/>
    <w:rsid w:val="00B14F6D"/>
    <w:rsid w:val="00B17808"/>
    <w:rsid w:val="00B2051F"/>
    <w:rsid w:val="00B205AE"/>
    <w:rsid w:val="00B20F9D"/>
    <w:rsid w:val="00B23218"/>
    <w:rsid w:val="00B55213"/>
    <w:rsid w:val="00B560ED"/>
    <w:rsid w:val="00B5766D"/>
    <w:rsid w:val="00B608D0"/>
    <w:rsid w:val="00B610DE"/>
    <w:rsid w:val="00B679E1"/>
    <w:rsid w:val="00B75D2D"/>
    <w:rsid w:val="00B75ECE"/>
    <w:rsid w:val="00B9153D"/>
    <w:rsid w:val="00B91831"/>
    <w:rsid w:val="00BA4883"/>
    <w:rsid w:val="00BC2DF6"/>
    <w:rsid w:val="00BD42A2"/>
    <w:rsid w:val="00BD4A4E"/>
    <w:rsid w:val="00BE2E13"/>
    <w:rsid w:val="00BE63FD"/>
    <w:rsid w:val="00BF1BC5"/>
    <w:rsid w:val="00C14862"/>
    <w:rsid w:val="00C15951"/>
    <w:rsid w:val="00C21AA4"/>
    <w:rsid w:val="00C2326D"/>
    <w:rsid w:val="00C23638"/>
    <w:rsid w:val="00C26449"/>
    <w:rsid w:val="00C36607"/>
    <w:rsid w:val="00C378E9"/>
    <w:rsid w:val="00C42EE4"/>
    <w:rsid w:val="00C46106"/>
    <w:rsid w:val="00C52051"/>
    <w:rsid w:val="00C623B6"/>
    <w:rsid w:val="00C67D93"/>
    <w:rsid w:val="00C73A6A"/>
    <w:rsid w:val="00C90435"/>
    <w:rsid w:val="00C9777A"/>
    <w:rsid w:val="00CA212D"/>
    <w:rsid w:val="00CB099D"/>
    <w:rsid w:val="00CB64FA"/>
    <w:rsid w:val="00CB7CA1"/>
    <w:rsid w:val="00CC4C9A"/>
    <w:rsid w:val="00CC7384"/>
    <w:rsid w:val="00CD14C3"/>
    <w:rsid w:val="00CE12D0"/>
    <w:rsid w:val="00CE20B9"/>
    <w:rsid w:val="00CE314A"/>
    <w:rsid w:val="00CE3A08"/>
    <w:rsid w:val="00CE3DA7"/>
    <w:rsid w:val="00CE4262"/>
    <w:rsid w:val="00CF142C"/>
    <w:rsid w:val="00D029C7"/>
    <w:rsid w:val="00D1001B"/>
    <w:rsid w:val="00D25209"/>
    <w:rsid w:val="00D32376"/>
    <w:rsid w:val="00D372A2"/>
    <w:rsid w:val="00D43AB5"/>
    <w:rsid w:val="00D45975"/>
    <w:rsid w:val="00D60AFA"/>
    <w:rsid w:val="00D670D7"/>
    <w:rsid w:val="00D67E74"/>
    <w:rsid w:val="00D71B03"/>
    <w:rsid w:val="00D83485"/>
    <w:rsid w:val="00DB42B0"/>
    <w:rsid w:val="00DC22FA"/>
    <w:rsid w:val="00DC4988"/>
    <w:rsid w:val="00DD0D3D"/>
    <w:rsid w:val="00DD52A8"/>
    <w:rsid w:val="00DD7B34"/>
    <w:rsid w:val="00DF4B55"/>
    <w:rsid w:val="00E12D4D"/>
    <w:rsid w:val="00E141E3"/>
    <w:rsid w:val="00E253F3"/>
    <w:rsid w:val="00E27146"/>
    <w:rsid w:val="00E322CB"/>
    <w:rsid w:val="00E32F07"/>
    <w:rsid w:val="00E40B66"/>
    <w:rsid w:val="00E41B6A"/>
    <w:rsid w:val="00E47941"/>
    <w:rsid w:val="00E6649B"/>
    <w:rsid w:val="00E6738F"/>
    <w:rsid w:val="00E767F1"/>
    <w:rsid w:val="00E77B1F"/>
    <w:rsid w:val="00E80DE0"/>
    <w:rsid w:val="00E80DFE"/>
    <w:rsid w:val="00E86D89"/>
    <w:rsid w:val="00E93A18"/>
    <w:rsid w:val="00E94822"/>
    <w:rsid w:val="00EA1103"/>
    <w:rsid w:val="00EA328B"/>
    <w:rsid w:val="00EA5812"/>
    <w:rsid w:val="00EB146A"/>
    <w:rsid w:val="00EB7663"/>
    <w:rsid w:val="00EC3799"/>
    <w:rsid w:val="00EC6FA9"/>
    <w:rsid w:val="00EE0AA3"/>
    <w:rsid w:val="00EE17A6"/>
    <w:rsid w:val="00EE1874"/>
    <w:rsid w:val="00EE4C97"/>
    <w:rsid w:val="00F05FDE"/>
    <w:rsid w:val="00F2159D"/>
    <w:rsid w:val="00F22AB9"/>
    <w:rsid w:val="00F50834"/>
    <w:rsid w:val="00F53EFB"/>
    <w:rsid w:val="00F71F7A"/>
    <w:rsid w:val="00F830B4"/>
    <w:rsid w:val="00F87CE8"/>
    <w:rsid w:val="00F92334"/>
    <w:rsid w:val="00F92C6D"/>
    <w:rsid w:val="00F96061"/>
    <w:rsid w:val="00F97C4A"/>
    <w:rsid w:val="00F97D17"/>
    <w:rsid w:val="00FB21A1"/>
    <w:rsid w:val="00FB5449"/>
    <w:rsid w:val="00FB6E08"/>
    <w:rsid w:val="00FC158A"/>
    <w:rsid w:val="00FC2519"/>
    <w:rsid w:val="00FC6069"/>
    <w:rsid w:val="00FC6100"/>
    <w:rsid w:val="00FD6A02"/>
    <w:rsid w:val="00FE29B3"/>
    <w:rsid w:val="00FE38A6"/>
    <w:rsid w:val="00FF1970"/>
    <w:rsid w:val="00FF4EC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34"/>
    <w:pPr>
      <w:jc w:val="right"/>
    </w:pPr>
    <w:rPr>
      <w:sz w:val="22"/>
      <w:szCs w:val="22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8052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093B"/>
    <w:rPr>
      <w:b/>
      <w:bCs/>
    </w:rPr>
  </w:style>
  <w:style w:type="table" w:styleId="TableGrid">
    <w:name w:val="Table Grid"/>
    <w:basedOn w:val="TableNormal"/>
    <w:uiPriority w:val="59"/>
    <w:rsid w:val="000D6C4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620"/>
  </w:style>
  <w:style w:type="paragraph" w:styleId="Footer">
    <w:name w:val="footer"/>
    <w:basedOn w:val="Normal"/>
    <w:link w:val="FooterChar"/>
    <w:uiPriority w:val="99"/>
    <w:unhideWhenUsed/>
    <w:rsid w:val="001D6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20"/>
  </w:style>
  <w:style w:type="character" w:styleId="Hyperlink">
    <w:name w:val="Hyperlink"/>
    <w:basedOn w:val="DefaultParagraphFont"/>
    <w:uiPriority w:val="99"/>
    <w:unhideWhenUsed/>
    <w:rsid w:val="0041636A"/>
    <w:rPr>
      <w:color w:val="0000FF"/>
      <w:u w:val="single"/>
    </w:rPr>
  </w:style>
  <w:style w:type="paragraph" w:customStyle="1" w:styleId="Default">
    <w:name w:val="Default"/>
    <w:rsid w:val="000F51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805228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iln">
    <w:name w:val="il_n"/>
    <w:basedOn w:val="Normal"/>
    <w:rsid w:val="00805228"/>
    <w:pPr>
      <w:spacing w:line="288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r">
    <w:name w:val="il_r"/>
    <w:basedOn w:val="Normal"/>
    <w:rsid w:val="00805228"/>
    <w:pPr>
      <w:spacing w:line="288" w:lineRule="auto"/>
      <w:jc w:val="left"/>
    </w:pPr>
    <w:rPr>
      <w:rFonts w:ascii="Times New Roman" w:eastAsia="Times New Roman" w:hAnsi="Times New Roman" w:cs="Times New Roman"/>
      <w:color w:val="22882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2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2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304">
      <w:marLeft w:val="0"/>
      <w:marRight w:val="21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624">
              <w:marLeft w:val="-20548"/>
              <w:marRight w:val="0"/>
              <w:marTop w:val="0"/>
              <w:marBottom w:val="0"/>
              <w:divBdr>
                <w:top w:val="single" w:sz="48" w:space="0" w:color="666666"/>
                <w:left w:val="single" w:sz="48" w:space="0" w:color="666666"/>
                <w:bottom w:val="single" w:sz="48" w:space="0" w:color="666666"/>
                <w:right w:val="single" w:sz="48" w:space="0" w:color="666666"/>
              </w:divBdr>
            </w:div>
          </w:divsChild>
        </w:div>
      </w:divsChild>
    </w:div>
    <w:div w:id="110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11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091">
      <w:marLeft w:val="0"/>
      <w:marRight w:val="0"/>
      <w:marTop w:val="0"/>
      <w:marBottom w:val="0"/>
      <w:divBdr>
        <w:top w:val="none" w:sz="0" w:space="0" w:color="auto"/>
        <w:left w:val="single" w:sz="48" w:space="0" w:color="666666"/>
        <w:bottom w:val="none" w:sz="0" w:space="0" w:color="auto"/>
        <w:right w:val="none" w:sz="0" w:space="0" w:color="auto"/>
      </w:divBdr>
      <w:divsChild>
        <w:div w:id="983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330E-3255-4DA3-ADF3-7FDC9B3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9753</CharactersWithSpaces>
  <SharedDoc>false</SharedDoc>
  <HLinks>
    <vt:vector size="18" baseType="variant"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http://www.jpost.com/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http://www.ynetnews.com/home/0,7340,L-3083,00.html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http://www.haaretz.com/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cp:lastPrinted>2014-01-22T13:28:00Z</cp:lastPrinted>
  <dcterms:created xsi:type="dcterms:W3CDTF">2014-01-22T13:47:00Z</dcterms:created>
  <dcterms:modified xsi:type="dcterms:W3CDTF">2014-01-22T13:47:00Z</dcterms:modified>
</cp:coreProperties>
</file>