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56" w:rsidRPr="008C500B" w:rsidRDefault="00542956" w:rsidP="00542956">
      <w:pPr>
        <w:jc w:val="center"/>
        <w:rPr>
          <w:b/>
        </w:rPr>
      </w:pPr>
      <w:r w:rsidRPr="008C500B">
        <w:rPr>
          <w:b/>
        </w:rPr>
        <w:t>The United States Metropolis, 1945-2000</w:t>
      </w:r>
    </w:p>
    <w:p w:rsidR="00542956" w:rsidRPr="00542956" w:rsidRDefault="00542956" w:rsidP="00542956">
      <w:pPr>
        <w:jc w:val="center"/>
      </w:pPr>
      <w:r w:rsidRPr="00542956">
        <w:t>URBN 1200</w:t>
      </w:r>
    </w:p>
    <w:p w:rsidR="00542956" w:rsidRDefault="00542956" w:rsidP="00542956">
      <w:pPr>
        <w:jc w:val="center"/>
      </w:pPr>
      <w:r>
        <w:t>MWF</w:t>
      </w:r>
    </w:p>
    <w:p w:rsidR="00542956" w:rsidRDefault="00542956" w:rsidP="00542956">
      <w:pPr>
        <w:jc w:val="center"/>
      </w:pPr>
      <w:r>
        <w:t>11-11:50</w:t>
      </w:r>
    </w:p>
    <w:p w:rsidR="00542956" w:rsidRDefault="00542956" w:rsidP="00542956">
      <w:pPr>
        <w:jc w:val="center"/>
      </w:pPr>
      <w:r>
        <w:t>CIT165</w:t>
      </w:r>
    </w:p>
    <w:p w:rsidR="00542956" w:rsidRDefault="00542956" w:rsidP="00542956"/>
    <w:p w:rsidR="00542956" w:rsidRDefault="00542956" w:rsidP="00542956">
      <w:pPr>
        <w:rPr>
          <w:sz w:val="22"/>
        </w:rPr>
      </w:pPr>
    </w:p>
    <w:p w:rsidR="00542956" w:rsidRDefault="00542956" w:rsidP="00542956">
      <w:pPr>
        <w:rPr>
          <w:sz w:val="22"/>
        </w:rPr>
      </w:pPr>
      <w:r>
        <w:rPr>
          <w:sz w:val="22"/>
        </w:rPr>
        <w:t>Professor Samuel Zipp</w:t>
      </w:r>
    </w:p>
    <w:p w:rsidR="00542956" w:rsidRDefault="00542956" w:rsidP="00542956">
      <w:pPr>
        <w:rPr>
          <w:sz w:val="22"/>
        </w:rPr>
      </w:pPr>
      <w:hyperlink r:id="rId5" w:history="1">
        <w:r>
          <w:rPr>
            <w:rStyle w:val="Hyperlink"/>
            <w:sz w:val="22"/>
          </w:rPr>
          <w:t>samuel_zipp@brown.edu</w:t>
        </w:r>
      </w:hyperlink>
    </w:p>
    <w:p w:rsidR="00542956" w:rsidRDefault="00542956" w:rsidP="00542956">
      <w:pPr>
        <w:rPr>
          <w:sz w:val="22"/>
        </w:rPr>
      </w:pPr>
      <w:r>
        <w:rPr>
          <w:sz w:val="22"/>
        </w:rPr>
        <w:t>Office: 82 Waterman, Room 205</w:t>
      </w:r>
    </w:p>
    <w:p w:rsidR="00542956" w:rsidRDefault="00542956" w:rsidP="00542956">
      <w:pPr>
        <w:rPr>
          <w:sz w:val="22"/>
        </w:rPr>
      </w:pPr>
      <w:r>
        <w:rPr>
          <w:sz w:val="22"/>
        </w:rPr>
        <w:t>Office Hours: Monday 3-5</w:t>
      </w:r>
    </w:p>
    <w:p w:rsidR="00542956" w:rsidRDefault="00542956" w:rsidP="00542956">
      <w:pPr>
        <w:rPr>
          <w:sz w:val="22"/>
        </w:rPr>
      </w:pPr>
      <w:r>
        <w:rPr>
          <w:sz w:val="22"/>
        </w:rPr>
        <w:t>TA: Robyn Schroeder</w:t>
      </w:r>
    </w:p>
    <w:p w:rsidR="00542956" w:rsidRDefault="00542956" w:rsidP="00542956">
      <w:pPr>
        <w:rPr>
          <w:sz w:val="22"/>
        </w:rPr>
      </w:pPr>
    </w:p>
    <w:p w:rsidR="00542956" w:rsidRPr="00542956" w:rsidRDefault="00542956" w:rsidP="00542956">
      <w:pPr>
        <w:rPr>
          <w:sz w:val="20"/>
        </w:rPr>
      </w:pPr>
      <w:r w:rsidRPr="00542956">
        <w:rPr>
          <w:sz w:val="20"/>
        </w:rPr>
        <w:t xml:space="preserve">This lecture and discussion course will provide students with an introduction to the history, politics, and culture of United States cities and suburbs from the end of World War II to the close of the twentieth century.  Readings are drawn from recent work in the political, social, and cultural history of U.S. cities as well as primary sources rooted in the period under study.  </w:t>
      </w:r>
    </w:p>
    <w:p w:rsidR="00542956" w:rsidRPr="00542956" w:rsidRDefault="00542956" w:rsidP="00542956">
      <w:pPr>
        <w:rPr>
          <w:sz w:val="20"/>
        </w:rPr>
      </w:pPr>
    </w:p>
    <w:p w:rsidR="00542956" w:rsidRPr="00542956" w:rsidRDefault="00542956" w:rsidP="00542956">
      <w:pPr>
        <w:rPr>
          <w:sz w:val="20"/>
        </w:rPr>
      </w:pPr>
      <w:r w:rsidRPr="00542956">
        <w:rPr>
          <w:sz w:val="20"/>
        </w:rPr>
        <w:t xml:space="preserve">Students will be asked to analyze the interconnections between urban and suburban development, the social and political movements that arise from urban change and look to direct it, and the cultural forms and representations that have emerged as symbolic interpretations of urban and suburban experience.  Lectures, readings and discussions will also stress the role of ideology, class, gender, and race in shaping urban and suburban policy, culture, politics, and the built environment.  </w:t>
      </w:r>
    </w:p>
    <w:p w:rsidR="00542956" w:rsidRPr="00542956" w:rsidRDefault="00542956" w:rsidP="00542956">
      <w:pPr>
        <w:rPr>
          <w:sz w:val="20"/>
        </w:rPr>
      </w:pPr>
    </w:p>
    <w:p w:rsidR="00542956" w:rsidRPr="00542956" w:rsidRDefault="00542956" w:rsidP="00542956">
      <w:pPr>
        <w:rPr>
          <w:sz w:val="20"/>
        </w:rPr>
      </w:pPr>
      <w:r w:rsidRPr="00542956">
        <w:rPr>
          <w:sz w:val="20"/>
        </w:rPr>
        <w:t xml:space="preserve">Topics will include: wartime mobilization, suburbanization, urban renewal, Civil Rights, the effects of migrations of black and white Southerners, the “urban crisis” and the rise of the Sunbelt, suburbanization and the growth of conservatism, the emergence of the regional city and the “edge city,” and </w:t>
      </w:r>
      <w:r w:rsidR="00421BCD">
        <w:rPr>
          <w:sz w:val="20"/>
        </w:rPr>
        <w:t>new immigration and globalization.</w:t>
      </w:r>
    </w:p>
    <w:p w:rsidR="00542956" w:rsidRDefault="00542956" w:rsidP="00542956">
      <w:pPr>
        <w:rPr>
          <w:sz w:val="22"/>
        </w:rPr>
      </w:pPr>
    </w:p>
    <w:p w:rsidR="00542956" w:rsidRDefault="00542956" w:rsidP="00542956">
      <w:pPr>
        <w:pStyle w:val="Heading2"/>
        <w:rPr>
          <w:sz w:val="22"/>
        </w:rPr>
      </w:pPr>
      <w:r>
        <w:rPr>
          <w:sz w:val="22"/>
        </w:rPr>
        <w:t xml:space="preserve">Required Readings: </w:t>
      </w:r>
    </w:p>
    <w:p w:rsidR="00542956" w:rsidRDefault="00542956" w:rsidP="00542956">
      <w:pPr>
        <w:rPr>
          <w:sz w:val="22"/>
        </w:rPr>
      </w:pPr>
    </w:p>
    <w:p w:rsidR="00542956" w:rsidRDefault="00542956" w:rsidP="00542956">
      <w:pPr>
        <w:rPr>
          <w:sz w:val="22"/>
        </w:rPr>
      </w:pPr>
      <w:r>
        <w:rPr>
          <w:sz w:val="22"/>
        </w:rPr>
        <w:t xml:space="preserve">Nicholas Lemann, </w:t>
      </w:r>
      <w:r w:rsidRPr="003306DD">
        <w:rPr>
          <w:i/>
          <w:sz w:val="22"/>
        </w:rPr>
        <w:t>The Promised Land: The Great Black Migration and How It Changed America</w:t>
      </w:r>
    </w:p>
    <w:p w:rsidR="00542956" w:rsidRDefault="00542956" w:rsidP="00542956">
      <w:pPr>
        <w:rPr>
          <w:sz w:val="22"/>
        </w:rPr>
      </w:pPr>
      <w:r>
        <w:rPr>
          <w:sz w:val="22"/>
        </w:rPr>
        <w:t xml:space="preserve">Becky Nicolaides and Andrew Wiese, eds., </w:t>
      </w:r>
      <w:r w:rsidRPr="003306DD">
        <w:rPr>
          <w:i/>
          <w:sz w:val="22"/>
        </w:rPr>
        <w:t>The Suburb Reader</w:t>
      </w:r>
    </w:p>
    <w:p w:rsidR="00542956" w:rsidRDefault="00542956" w:rsidP="00542956">
      <w:pPr>
        <w:rPr>
          <w:sz w:val="22"/>
        </w:rPr>
      </w:pPr>
      <w:r>
        <w:rPr>
          <w:sz w:val="22"/>
        </w:rPr>
        <w:t xml:space="preserve">Thomas Sugrue, </w:t>
      </w:r>
      <w:r w:rsidRPr="003306DD">
        <w:rPr>
          <w:i/>
          <w:sz w:val="22"/>
        </w:rPr>
        <w:t>The Origins of the Urban Crisis</w:t>
      </w:r>
    </w:p>
    <w:p w:rsidR="00542956" w:rsidRPr="003306DD" w:rsidRDefault="00542956" w:rsidP="00542956">
      <w:pPr>
        <w:rPr>
          <w:i/>
          <w:sz w:val="22"/>
        </w:rPr>
      </w:pPr>
      <w:r>
        <w:rPr>
          <w:sz w:val="22"/>
        </w:rPr>
        <w:t xml:space="preserve">Alexander von Hoffman, </w:t>
      </w:r>
      <w:r w:rsidRPr="003306DD">
        <w:rPr>
          <w:i/>
          <w:sz w:val="22"/>
        </w:rPr>
        <w:t>House by House, Block by Block: The Rebirth of America’s Urban Neighborhoods</w:t>
      </w:r>
    </w:p>
    <w:p w:rsidR="00542956" w:rsidRDefault="00542956" w:rsidP="00542956">
      <w:pPr>
        <w:rPr>
          <w:sz w:val="22"/>
        </w:rPr>
      </w:pPr>
    </w:p>
    <w:p w:rsidR="00542956" w:rsidRPr="00F028A2" w:rsidRDefault="00542956" w:rsidP="00542956">
      <w:pPr>
        <w:rPr>
          <w:sz w:val="22"/>
        </w:rPr>
      </w:pPr>
      <w:r w:rsidRPr="00F028A2">
        <w:rPr>
          <w:sz w:val="22"/>
        </w:rPr>
        <w:t>Books are at the Brown University Bookstore and on reserve at The Rock.</w:t>
      </w:r>
    </w:p>
    <w:p w:rsidR="00542956" w:rsidRDefault="00542956" w:rsidP="00542956">
      <w:pPr>
        <w:rPr>
          <w:sz w:val="22"/>
        </w:rPr>
      </w:pPr>
    </w:p>
    <w:p w:rsidR="00542956" w:rsidRDefault="00542956" w:rsidP="00542956">
      <w:pPr>
        <w:ind w:left="720"/>
        <w:rPr>
          <w:sz w:val="22"/>
        </w:rPr>
      </w:pPr>
      <w:r>
        <w:rPr>
          <w:sz w:val="22"/>
        </w:rPr>
        <w:t xml:space="preserve">(Recommended: </w:t>
      </w:r>
      <w:r w:rsidRPr="003306DD">
        <w:rPr>
          <w:sz w:val="22"/>
        </w:rPr>
        <w:t>Jon Teaford,</w:t>
      </w:r>
      <w:r w:rsidRPr="003306DD">
        <w:rPr>
          <w:i/>
          <w:sz w:val="22"/>
        </w:rPr>
        <w:t xml:space="preserve"> The Metropolitan Revolution: The Rise of Post-Urban America</w:t>
      </w:r>
      <w:r>
        <w:rPr>
          <w:sz w:val="22"/>
        </w:rPr>
        <w:t xml:space="preserve"> [on reserve at The Rock.])</w:t>
      </w:r>
    </w:p>
    <w:p w:rsidR="00542956" w:rsidRPr="003306DD" w:rsidRDefault="00542956" w:rsidP="00542956">
      <w:pPr>
        <w:rPr>
          <w:sz w:val="22"/>
        </w:rPr>
      </w:pPr>
    </w:p>
    <w:p w:rsidR="00542956" w:rsidRPr="008C500B" w:rsidRDefault="00542956" w:rsidP="00542956">
      <w:pPr>
        <w:rPr>
          <w:b/>
          <w:sz w:val="22"/>
        </w:rPr>
      </w:pPr>
      <w:r>
        <w:rPr>
          <w:b/>
          <w:sz w:val="22"/>
        </w:rPr>
        <w:t xml:space="preserve">The pieces </w:t>
      </w:r>
      <w:r w:rsidRPr="008C500B">
        <w:rPr>
          <w:b/>
          <w:sz w:val="22"/>
        </w:rPr>
        <w:t xml:space="preserve">indicated with an (X) in the syllabus below will be available on the </w:t>
      </w:r>
      <w:r>
        <w:rPr>
          <w:b/>
          <w:sz w:val="22"/>
        </w:rPr>
        <w:t>Canvas</w:t>
      </w:r>
      <w:r w:rsidRPr="008C500B">
        <w:rPr>
          <w:b/>
          <w:sz w:val="22"/>
        </w:rPr>
        <w:t xml:space="preserve"> site.  Look for them listed by the author’s last name. </w:t>
      </w:r>
    </w:p>
    <w:p w:rsidR="00542956" w:rsidRDefault="00542956" w:rsidP="00542956">
      <w:pPr>
        <w:rPr>
          <w:b/>
          <w:sz w:val="22"/>
        </w:rPr>
      </w:pPr>
    </w:p>
    <w:p w:rsidR="00542956" w:rsidRDefault="00542956" w:rsidP="00542956">
      <w:pPr>
        <w:rPr>
          <w:b/>
          <w:sz w:val="22"/>
        </w:rPr>
      </w:pPr>
      <w:r>
        <w:rPr>
          <w:b/>
          <w:sz w:val="22"/>
        </w:rPr>
        <w:t>Required Films:</w:t>
      </w:r>
    </w:p>
    <w:p w:rsidR="00542956" w:rsidRDefault="00542956" w:rsidP="00542956">
      <w:pPr>
        <w:rPr>
          <w:b/>
          <w:sz w:val="22"/>
        </w:rPr>
      </w:pPr>
    </w:p>
    <w:p w:rsidR="00542956" w:rsidRPr="00F028A2" w:rsidRDefault="00542956" w:rsidP="00542956">
      <w:pPr>
        <w:rPr>
          <w:sz w:val="22"/>
        </w:rPr>
      </w:pPr>
      <w:r w:rsidRPr="00F028A2">
        <w:rPr>
          <w:i/>
          <w:sz w:val="22"/>
        </w:rPr>
        <w:t>The City</w:t>
      </w:r>
      <w:r w:rsidRPr="00F028A2">
        <w:rPr>
          <w:sz w:val="22"/>
        </w:rPr>
        <w:t>, dir. Ralph Steiner and Willard Van Dyke (1939)</w:t>
      </w:r>
    </w:p>
    <w:p w:rsidR="00542956" w:rsidRPr="00F028A2" w:rsidRDefault="00542956" w:rsidP="00542956">
      <w:pPr>
        <w:rPr>
          <w:sz w:val="22"/>
        </w:rPr>
      </w:pPr>
      <w:r w:rsidRPr="00F028A2">
        <w:rPr>
          <w:i/>
          <w:sz w:val="22"/>
        </w:rPr>
        <w:t>A Raisin in the Sun</w:t>
      </w:r>
      <w:r w:rsidRPr="00F028A2">
        <w:rPr>
          <w:sz w:val="22"/>
        </w:rPr>
        <w:t>, dir.  Daniel Petrie  (1961)</w:t>
      </w:r>
    </w:p>
    <w:p w:rsidR="00542956" w:rsidRPr="00BD5A40" w:rsidRDefault="00542956" w:rsidP="00542956">
      <w:pPr>
        <w:rPr>
          <w:sz w:val="22"/>
        </w:rPr>
      </w:pPr>
      <w:r w:rsidRPr="00BD5A40">
        <w:rPr>
          <w:i/>
          <w:sz w:val="22"/>
        </w:rPr>
        <w:t>Bunker Hill, 1965</w:t>
      </w:r>
      <w:r>
        <w:rPr>
          <w:sz w:val="22"/>
        </w:rPr>
        <w:t>, dir. Kent MacKenzie (1956)</w:t>
      </w:r>
    </w:p>
    <w:p w:rsidR="00542956" w:rsidRPr="00BD5A40" w:rsidRDefault="00542956" w:rsidP="00542956">
      <w:pPr>
        <w:rPr>
          <w:sz w:val="22"/>
        </w:rPr>
      </w:pPr>
      <w:r w:rsidRPr="00BD5A40">
        <w:rPr>
          <w:i/>
          <w:sz w:val="22"/>
        </w:rPr>
        <w:t>Bunker Hill: A Tale of Urban Renewal</w:t>
      </w:r>
      <w:r>
        <w:rPr>
          <w:sz w:val="22"/>
        </w:rPr>
        <w:t>, dir. Greg Kimble (2009)</w:t>
      </w:r>
    </w:p>
    <w:p w:rsidR="00542956" w:rsidRPr="00F028A2" w:rsidRDefault="00542956" w:rsidP="00542956">
      <w:pPr>
        <w:rPr>
          <w:sz w:val="22"/>
        </w:rPr>
      </w:pPr>
      <w:r w:rsidRPr="00F028A2">
        <w:rPr>
          <w:i/>
          <w:sz w:val="22"/>
        </w:rPr>
        <w:t>The Landlord</w:t>
      </w:r>
      <w:r w:rsidRPr="00F028A2">
        <w:rPr>
          <w:sz w:val="22"/>
        </w:rPr>
        <w:t>, dir. Hal Ashby (1970)</w:t>
      </w:r>
    </w:p>
    <w:p w:rsidR="00542956" w:rsidRPr="00F028A2" w:rsidRDefault="00542956" w:rsidP="00542956">
      <w:pPr>
        <w:rPr>
          <w:sz w:val="22"/>
        </w:rPr>
      </w:pPr>
      <w:r w:rsidRPr="00F028A2">
        <w:rPr>
          <w:i/>
          <w:sz w:val="22"/>
        </w:rPr>
        <w:t>The Man in the Gray Flannel Suit</w:t>
      </w:r>
      <w:r w:rsidRPr="00F028A2">
        <w:rPr>
          <w:sz w:val="22"/>
        </w:rPr>
        <w:t>, dir. Nunnally Johnson (1956)</w:t>
      </w:r>
    </w:p>
    <w:p w:rsidR="00542956" w:rsidRPr="00F028A2" w:rsidRDefault="00542956" w:rsidP="00542956">
      <w:pPr>
        <w:rPr>
          <w:sz w:val="22"/>
        </w:rPr>
      </w:pPr>
      <w:r w:rsidRPr="00F028A2">
        <w:rPr>
          <w:i/>
          <w:sz w:val="22"/>
        </w:rPr>
        <w:t>Killer of Sheep</w:t>
      </w:r>
      <w:r w:rsidRPr="00F028A2">
        <w:rPr>
          <w:sz w:val="22"/>
        </w:rPr>
        <w:t>, dir. Charles Burnett (1977)</w:t>
      </w:r>
    </w:p>
    <w:p w:rsidR="00542956" w:rsidRPr="00F028A2" w:rsidRDefault="00542956" w:rsidP="00542956">
      <w:pPr>
        <w:rPr>
          <w:sz w:val="22"/>
        </w:rPr>
      </w:pPr>
      <w:r w:rsidRPr="00F028A2">
        <w:rPr>
          <w:i/>
          <w:sz w:val="22"/>
        </w:rPr>
        <w:t>La Ciudad</w:t>
      </w:r>
      <w:r w:rsidRPr="00F028A2">
        <w:rPr>
          <w:sz w:val="22"/>
        </w:rPr>
        <w:t>, dir. David Riker (1998)</w:t>
      </w:r>
    </w:p>
    <w:p w:rsidR="00542956" w:rsidRPr="00F028A2" w:rsidRDefault="00542956" w:rsidP="00542956">
      <w:pPr>
        <w:rPr>
          <w:sz w:val="22"/>
        </w:rPr>
      </w:pPr>
      <w:r w:rsidRPr="00F028A2">
        <w:rPr>
          <w:i/>
          <w:sz w:val="22"/>
        </w:rPr>
        <w:t>Safe</w:t>
      </w:r>
      <w:r w:rsidRPr="00F028A2">
        <w:rPr>
          <w:sz w:val="22"/>
        </w:rPr>
        <w:t>, dir. Todd Haynes (1995)</w:t>
      </w:r>
    </w:p>
    <w:p w:rsidR="00542956" w:rsidRPr="00F028A2" w:rsidRDefault="00542956" w:rsidP="00542956">
      <w:pPr>
        <w:rPr>
          <w:sz w:val="22"/>
        </w:rPr>
      </w:pPr>
      <w:r w:rsidRPr="00F028A2">
        <w:rPr>
          <w:i/>
          <w:sz w:val="22"/>
        </w:rPr>
        <w:t>Falling Down</w:t>
      </w:r>
      <w:r w:rsidRPr="00F028A2">
        <w:rPr>
          <w:sz w:val="22"/>
        </w:rPr>
        <w:t>, dir. Joel Schumacher (1993)</w:t>
      </w:r>
    </w:p>
    <w:p w:rsidR="00542956" w:rsidRDefault="00542956" w:rsidP="00542956">
      <w:pPr>
        <w:rPr>
          <w:b/>
        </w:rPr>
      </w:pPr>
    </w:p>
    <w:p w:rsidR="00542956" w:rsidRPr="00F028A2" w:rsidRDefault="00542956" w:rsidP="00542956">
      <w:pPr>
        <w:rPr>
          <w:sz w:val="22"/>
        </w:rPr>
      </w:pPr>
      <w:r w:rsidRPr="00F028A2">
        <w:rPr>
          <w:b/>
          <w:sz w:val="22"/>
        </w:rPr>
        <w:t xml:space="preserve">Films can be individually screened through the EReserves section of the </w:t>
      </w:r>
      <w:r>
        <w:rPr>
          <w:b/>
          <w:sz w:val="22"/>
        </w:rPr>
        <w:t>Canvas</w:t>
      </w:r>
      <w:r w:rsidRPr="00F028A2">
        <w:rPr>
          <w:b/>
          <w:sz w:val="22"/>
        </w:rPr>
        <w:t xml:space="preserve"> page for this class (Password: “metropolis”) or screened at Media Services in person.   Please make sure to watch the film </w:t>
      </w:r>
      <w:r w:rsidRPr="00F028A2">
        <w:rPr>
          <w:b/>
          <w:i/>
          <w:sz w:val="22"/>
        </w:rPr>
        <w:t>before</w:t>
      </w:r>
      <w:r w:rsidRPr="00F028A2">
        <w:rPr>
          <w:b/>
          <w:sz w:val="22"/>
        </w:rPr>
        <w:t xml:space="preserve"> the Friday discussion section in the week it is assigned.</w:t>
      </w:r>
    </w:p>
    <w:p w:rsidR="00542956" w:rsidRDefault="00542956" w:rsidP="00542956">
      <w:pPr>
        <w:rPr>
          <w:b/>
          <w:sz w:val="22"/>
        </w:rPr>
      </w:pPr>
    </w:p>
    <w:p w:rsidR="00542956" w:rsidRDefault="00542956" w:rsidP="00542956">
      <w:pPr>
        <w:spacing w:line="360" w:lineRule="atLeast"/>
        <w:rPr>
          <w:sz w:val="22"/>
        </w:rPr>
      </w:pPr>
      <w:r>
        <w:rPr>
          <w:b/>
          <w:sz w:val="22"/>
        </w:rPr>
        <w:t>Course Requirements and Grading</w:t>
      </w:r>
    </w:p>
    <w:p w:rsidR="00542956" w:rsidRDefault="00542956" w:rsidP="00542956">
      <w:pPr>
        <w:pStyle w:val="bibliography"/>
        <w:tabs>
          <w:tab w:val="left" w:pos="10620"/>
        </w:tabs>
        <w:ind w:right="1354" w:firstLine="0"/>
      </w:pPr>
      <w:r>
        <w:rPr>
          <w:rFonts w:ascii="Times" w:hAnsi="Times"/>
          <w:sz w:val="22"/>
        </w:rPr>
        <w:tab/>
        <w:t>Midterm</w:t>
      </w:r>
      <w:r>
        <w:rPr>
          <w:rFonts w:ascii="Times" w:hAnsi="Times"/>
          <w:sz w:val="22"/>
        </w:rPr>
        <w:tab/>
      </w:r>
    </w:p>
    <w:p w:rsidR="00542956" w:rsidRDefault="00542956" w:rsidP="00542956">
      <w:pPr>
        <w:numPr>
          <w:ilvl w:val="0"/>
          <w:numId w:val="1"/>
        </w:numPr>
        <w:rPr>
          <w:sz w:val="22"/>
        </w:rPr>
      </w:pPr>
      <w:r>
        <w:rPr>
          <w:sz w:val="22"/>
        </w:rPr>
        <w:t xml:space="preserve">Midterm. The midterm will consist of short answer IDs and an essay drawn from your readings and my lectures. </w:t>
      </w:r>
      <w:r>
        <w:rPr>
          <w:b/>
          <w:sz w:val="22"/>
        </w:rPr>
        <w:t>20 percent</w:t>
      </w:r>
      <w:r>
        <w:rPr>
          <w:sz w:val="22"/>
        </w:rPr>
        <w:t xml:space="preserve"> of your grade. </w:t>
      </w:r>
    </w:p>
    <w:p w:rsidR="00542956" w:rsidRDefault="00542956" w:rsidP="00542956">
      <w:pPr>
        <w:numPr>
          <w:ilvl w:val="0"/>
          <w:numId w:val="1"/>
        </w:numPr>
        <w:rPr>
          <w:sz w:val="22"/>
        </w:rPr>
      </w:pPr>
      <w:r>
        <w:rPr>
          <w:sz w:val="22"/>
        </w:rPr>
        <w:t xml:space="preserve">Two short papers.  Details to be distributed in class.  The first will be due in week 6, the second in week 11. </w:t>
      </w:r>
      <w:r w:rsidRPr="00F028A2">
        <w:rPr>
          <w:b/>
          <w:sz w:val="22"/>
        </w:rPr>
        <w:t>20 percent eac</w:t>
      </w:r>
      <w:r w:rsidRPr="00F50EE3">
        <w:rPr>
          <w:b/>
          <w:sz w:val="22"/>
        </w:rPr>
        <w:t>h, for a total of 40 percent</w:t>
      </w:r>
      <w:r>
        <w:rPr>
          <w:sz w:val="22"/>
        </w:rPr>
        <w:t>.</w:t>
      </w:r>
    </w:p>
    <w:p w:rsidR="00542956" w:rsidRDefault="00542956" w:rsidP="00542956">
      <w:pPr>
        <w:numPr>
          <w:ilvl w:val="0"/>
          <w:numId w:val="1"/>
        </w:numPr>
        <w:rPr>
          <w:sz w:val="22"/>
        </w:rPr>
      </w:pPr>
      <w:r>
        <w:rPr>
          <w:sz w:val="22"/>
        </w:rPr>
        <w:t xml:space="preserve">Final Exam.  The final will consist of an in-class exam of IDs and </w:t>
      </w:r>
      <w:r w:rsidR="007E763C">
        <w:rPr>
          <w:sz w:val="22"/>
        </w:rPr>
        <w:t>essays</w:t>
      </w:r>
      <w:r>
        <w:rPr>
          <w:sz w:val="22"/>
        </w:rPr>
        <w:t xml:space="preserve">.  </w:t>
      </w:r>
      <w:r w:rsidRPr="00F028A2">
        <w:rPr>
          <w:b/>
          <w:sz w:val="22"/>
        </w:rPr>
        <w:t>30 percent</w:t>
      </w:r>
      <w:r>
        <w:rPr>
          <w:sz w:val="22"/>
        </w:rPr>
        <w:t>.</w:t>
      </w:r>
    </w:p>
    <w:p w:rsidR="00542956" w:rsidRDefault="00542956" w:rsidP="00542956">
      <w:pPr>
        <w:numPr>
          <w:ilvl w:val="0"/>
          <w:numId w:val="1"/>
        </w:numPr>
        <w:rPr>
          <w:sz w:val="22"/>
        </w:rPr>
      </w:pPr>
      <w:r>
        <w:rPr>
          <w:sz w:val="22"/>
        </w:rPr>
        <w:t xml:space="preserve">Attendance and participation.  Attendance is mandatory at all sessions. </w:t>
      </w:r>
      <w:r w:rsidRPr="00F028A2">
        <w:rPr>
          <w:b/>
          <w:sz w:val="22"/>
        </w:rPr>
        <w:t>10 percent</w:t>
      </w:r>
      <w:r>
        <w:rPr>
          <w:sz w:val="22"/>
        </w:rPr>
        <w:t>.</w:t>
      </w:r>
    </w:p>
    <w:p w:rsidR="00542956" w:rsidRDefault="00542956" w:rsidP="00542956">
      <w:pPr>
        <w:rPr>
          <w:sz w:val="22"/>
        </w:rPr>
      </w:pPr>
      <w:r>
        <w:rPr>
          <w:sz w:val="22"/>
        </w:rPr>
        <w:t xml:space="preserve">  </w:t>
      </w:r>
    </w:p>
    <w:p w:rsidR="00542956" w:rsidRDefault="00542956" w:rsidP="00542956">
      <w:pPr>
        <w:rPr>
          <w:b/>
          <w:sz w:val="22"/>
        </w:rPr>
      </w:pPr>
    </w:p>
    <w:p w:rsidR="00542956" w:rsidRDefault="00542956" w:rsidP="00542956">
      <w:pPr>
        <w:rPr>
          <w:b/>
          <w:sz w:val="22"/>
        </w:rPr>
      </w:pPr>
      <w:r>
        <w:rPr>
          <w:b/>
          <w:sz w:val="22"/>
        </w:rPr>
        <w:t>Schedule of Lectures, Readings, and Presentations</w:t>
      </w:r>
    </w:p>
    <w:p w:rsidR="00542956" w:rsidRDefault="00542956" w:rsidP="00542956">
      <w:pPr>
        <w:rPr>
          <w:b/>
          <w:sz w:val="22"/>
        </w:rPr>
      </w:pPr>
    </w:p>
    <w:p w:rsidR="00542956" w:rsidRDefault="00542956" w:rsidP="00542956">
      <w:pPr>
        <w:rPr>
          <w:b/>
          <w:sz w:val="22"/>
        </w:rPr>
      </w:pPr>
      <w:r>
        <w:rPr>
          <w:b/>
          <w:sz w:val="22"/>
        </w:rPr>
        <w:t xml:space="preserve">Generally, lectures are Monday and Wednesday and discussions are Friday, except where noted.  </w:t>
      </w:r>
    </w:p>
    <w:p w:rsidR="00542956" w:rsidRDefault="00542956" w:rsidP="00542956">
      <w:pPr>
        <w:rPr>
          <w:b/>
          <w:sz w:val="22"/>
        </w:rPr>
      </w:pPr>
    </w:p>
    <w:p w:rsidR="00542956" w:rsidRDefault="00542956" w:rsidP="00542956">
      <w:pPr>
        <w:rPr>
          <w:sz w:val="22"/>
        </w:rPr>
      </w:pPr>
      <w:r>
        <w:rPr>
          <w:b/>
          <w:sz w:val="22"/>
        </w:rPr>
        <w:t>UNLESS OTHERWISE NOTED, THE READING AND VIEWING FOR EACH WEEK SHOULD BE COMPLETED BY YOUR DISCUSSION SECTION ON FRIDAY.</w:t>
      </w:r>
    </w:p>
    <w:p w:rsidR="00542956" w:rsidRDefault="00542956" w:rsidP="00542956">
      <w:pPr>
        <w:pStyle w:val="Heading1"/>
        <w:rPr>
          <w:b/>
          <w:sz w:val="22"/>
        </w:rPr>
      </w:pPr>
    </w:p>
    <w:p w:rsidR="00542956" w:rsidRDefault="00542956" w:rsidP="00542956">
      <w:pPr>
        <w:pStyle w:val="Heading1"/>
        <w:rPr>
          <w:b/>
          <w:sz w:val="22"/>
        </w:rPr>
      </w:pPr>
    </w:p>
    <w:p w:rsidR="00542956" w:rsidRPr="00500CAB" w:rsidRDefault="002E70BD" w:rsidP="00542956">
      <w:pPr>
        <w:pStyle w:val="Heading1"/>
        <w:rPr>
          <w:b/>
        </w:rPr>
      </w:pPr>
      <w:r>
        <w:rPr>
          <w:b/>
        </w:rPr>
        <w:t>Week 1—1/22-1/24</w:t>
      </w:r>
    </w:p>
    <w:p w:rsidR="00542956" w:rsidRDefault="00542956" w:rsidP="00542956">
      <w:pPr>
        <w:rPr>
          <w:sz w:val="22"/>
        </w:rPr>
      </w:pPr>
    </w:p>
    <w:p w:rsidR="00542956" w:rsidRPr="003306DD" w:rsidRDefault="00542956" w:rsidP="00542956">
      <w:pPr>
        <w:rPr>
          <w:b/>
          <w:sz w:val="22"/>
        </w:rPr>
      </w:pPr>
      <w:r w:rsidRPr="003306DD">
        <w:rPr>
          <w:b/>
          <w:sz w:val="22"/>
        </w:rPr>
        <w:t>Introductions</w:t>
      </w:r>
    </w:p>
    <w:p w:rsidR="00542956" w:rsidRDefault="00542956" w:rsidP="00542956">
      <w:pPr>
        <w:rPr>
          <w:b/>
          <w:sz w:val="22"/>
        </w:rPr>
      </w:pPr>
    </w:p>
    <w:p w:rsidR="00542956" w:rsidRPr="003306DD" w:rsidRDefault="00542956" w:rsidP="00542956">
      <w:pPr>
        <w:rPr>
          <w:sz w:val="22"/>
        </w:rPr>
      </w:pPr>
      <w:r w:rsidRPr="003306DD">
        <w:rPr>
          <w:sz w:val="22"/>
        </w:rPr>
        <w:t>(You should begin reading Lemann, “Clarksdale” and “Chicago</w:t>
      </w:r>
      <w:r>
        <w:rPr>
          <w:sz w:val="22"/>
        </w:rPr>
        <w:t>,</w:t>
      </w:r>
      <w:r w:rsidR="001765BC">
        <w:rPr>
          <w:sz w:val="22"/>
        </w:rPr>
        <w:t xml:space="preserve">” </w:t>
      </w:r>
      <w:r w:rsidRPr="003306DD">
        <w:rPr>
          <w:sz w:val="22"/>
        </w:rPr>
        <w:t>pp. 1-107)</w:t>
      </w:r>
    </w:p>
    <w:p w:rsidR="00542956" w:rsidRDefault="00542956" w:rsidP="00542956">
      <w:pPr>
        <w:rPr>
          <w:sz w:val="22"/>
        </w:rPr>
      </w:pPr>
    </w:p>
    <w:p w:rsidR="00542956" w:rsidRPr="00500CAB" w:rsidRDefault="00542956" w:rsidP="00542956">
      <w:pPr>
        <w:pStyle w:val="Heading1"/>
        <w:rPr>
          <w:b/>
        </w:rPr>
      </w:pPr>
      <w:r>
        <w:rPr>
          <w:b/>
        </w:rPr>
        <w:t>Week 2—1/</w:t>
      </w:r>
      <w:r w:rsidR="002E70BD">
        <w:rPr>
          <w:b/>
        </w:rPr>
        <w:t>27</w:t>
      </w:r>
      <w:r>
        <w:rPr>
          <w:b/>
        </w:rPr>
        <w:t>-</w:t>
      </w:r>
      <w:r w:rsidR="002E70BD">
        <w:rPr>
          <w:b/>
        </w:rPr>
        <w:t>1/31</w:t>
      </w:r>
      <w:r w:rsidRPr="00500CAB">
        <w:rPr>
          <w:b/>
        </w:rPr>
        <w:t xml:space="preserve"> </w:t>
      </w:r>
    </w:p>
    <w:p w:rsidR="00542956" w:rsidRDefault="00542956" w:rsidP="00542956">
      <w:pPr>
        <w:rPr>
          <w:b/>
          <w:sz w:val="22"/>
        </w:rPr>
      </w:pPr>
    </w:p>
    <w:p w:rsidR="00542956" w:rsidRDefault="00542956" w:rsidP="00542956">
      <w:pPr>
        <w:ind w:left="720" w:hanging="720"/>
        <w:rPr>
          <w:b/>
          <w:sz w:val="22"/>
        </w:rPr>
      </w:pPr>
      <w:r>
        <w:rPr>
          <w:b/>
          <w:sz w:val="22"/>
        </w:rPr>
        <w:t>M: The Rise of the American City I</w:t>
      </w:r>
    </w:p>
    <w:p w:rsidR="00542956" w:rsidRDefault="00542956" w:rsidP="00542956">
      <w:pPr>
        <w:ind w:left="720" w:hanging="720"/>
        <w:rPr>
          <w:b/>
          <w:sz w:val="22"/>
        </w:rPr>
      </w:pPr>
    </w:p>
    <w:p w:rsidR="00542956" w:rsidRPr="00F028A2" w:rsidRDefault="00542956" w:rsidP="00542956">
      <w:pPr>
        <w:rPr>
          <w:sz w:val="22"/>
        </w:rPr>
      </w:pPr>
      <w:r w:rsidRPr="004B7FFA">
        <w:rPr>
          <w:sz w:val="22"/>
        </w:rPr>
        <w:t>Watch:</w:t>
      </w:r>
      <w:r>
        <w:rPr>
          <w:b/>
          <w:sz w:val="22"/>
        </w:rPr>
        <w:t xml:space="preserve"> </w:t>
      </w:r>
      <w:r w:rsidRPr="00F028A2">
        <w:rPr>
          <w:i/>
          <w:sz w:val="22"/>
        </w:rPr>
        <w:t>The City</w:t>
      </w:r>
      <w:r w:rsidRPr="00F028A2">
        <w:rPr>
          <w:sz w:val="22"/>
        </w:rPr>
        <w:t>, dir. Ralph Steiner and Willard Van Dyke (43 min.)</w:t>
      </w:r>
      <w:r w:rsidR="00B55F96">
        <w:rPr>
          <w:sz w:val="22"/>
        </w:rPr>
        <w:t xml:space="preserve"> (Also available online.)</w:t>
      </w:r>
    </w:p>
    <w:p w:rsidR="00542956" w:rsidRDefault="00542956" w:rsidP="00542956">
      <w:pPr>
        <w:ind w:left="720" w:hanging="720"/>
        <w:rPr>
          <w:b/>
          <w:sz w:val="22"/>
        </w:rPr>
      </w:pPr>
    </w:p>
    <w:p w:rsidR="00542956" w:rsidRDefault="00542956" w:rsidP="00542956">
      <w:pPr>
        <w:rPr>
          <w:b/>
          <w:sz w:val="22"/>
        </w:rPr>
      </w:pPr>
      <w:r>
        <w:rPr>
          <w:b/>
          <w:sz w:val="22"/>
        </w:rPr>
        <w:t>W: The Rise of the American City II</w:t>
      </w:r>
    </w:p>
    <w:p w:rsidR="00542956" w:rsidRDefault="00542956" w:rsidP="00542956">
      <w:pPr>
        <w:rPr>
          <w:b/>
          <w:sz w:val="22"/>
        </w:rPr>
      </w:pPr>
    </w:p>
    <w:p w:rsidR="00542956" w:rsidRDefault="00542956" w:rsidP="00542956">
      <w:pPr>
        <w:rPr>
          <w:sz w:val="22"/>
        </w:rPr>
      </w:pPr>
      <w:r>
        <w:rPr>
          <w:b/>
          <w:sz w:val="22"/>
        </w:rPr>
        <w:t>F: World War II and the Great Migration</w:t>
      </w:r>
    </w:p>
    <w:p w:rsidR="00542956" w:rsidRDefault="00542956" w:rsidP="00542956">
      <w:pPr>
        <w:pStyle w:val="Heading1"/>
        <w:rPr>
          <w:sz w:val="22"/>
          <w:u w:val="none"/>
        </w:rPr>
      </w:pPr>
    </w:p>
    <w:p w:rsidR="00542956" w:rsidRDefault="00542956" w:rsidP="00542956">
      <w:pPr>
        <w:rPr>
          <w:sz w:val="22"/>
        </w:rPr>
      </w:pPr>
      <w:r>
        <w:rPr>
          <w:sz w:val="22"/>
        </w:rPr>
        <w:t>Reading:  Sugrue, Preface, Introduction, and Chapter 1 (xv-xxvii; 3-31)</w:t>
      </w:r>
    </w:p>
    <w:p w:rsidR="00B55F96" w:rsidRDefault="00B55F96" w:rsidP="00542956">
      <w:pPr>
        <w:rPr>
          <w:sz w:val="22"/>
        </w:rPr>
      </w:pPr>
    </w:p>
    <w:p w:rsidR="00542956" w:rsidRDefault="00542956" w:rsidP="00542956">
      <w:pPr>
        <w:rPr>
          <w:sz w:val="22"/>
        </w:rPr>
      </w:pPr>
      <w:r>
        <w:rPr>
          <w:sz w:val="22"/>
        </w:rPr>
        <w:t>Lemann, “Clarksdale” and “Chicago” (1-107)</w:t>
      </w:r>
      <w:r>
        <w:rPr>
          <w:sz w:val="22"/>
        </w:rPr>
        <w:tab/>
      </w:r>
    </w:p>
    <w:p w:rsidR="00542956" w:rsidRDefault="00542956" w:rsidP="00542956">
      <w:pPr>
        <w:rPr>
          <w:sz w:val="22"/>
        </w:rPr>
      </w:pPr>
    </w:p>
    <w:p w:rsidR="00542956" w:rsidRPr="004B7FFA" w:rsidRDefault="00542956" w:rsidP="00542956">
      <w:pPr>
        <w:rPr>
          <w:sz w:val="22"/>
        </w:rPr>
      </w:pPr>
      <w:r w:rsidRPr="004B7FFA">
        <w:rPr>
          <w:sz w:val="22"/>
        </w:rPr>
        <w:t xml:space="preserve">Watch: </w:t>
      </w:r>
      <w:r w:rsidRPr="004B7FFA">
        <w:rPr>
          <w:i/>
          <w:sz w:val="22"/>
        </w:rPr>
        <w:t>A Raisin in the Sun</w:t>
      </w:r>
      <w:r w:rsidRPr="004B7FFA">
        <w:rPr>
          <w:sz w:val="22"/>
        </w:rPr>
        <w:t>, dir.  Daniel Petrie  (128 min.)</w:t>
      </w:r>
    </w:p>
    <w:p w:rsidR="00542956" w:rsidRPr="004B7FFA" w:rsidRDefault="00542956" w:rsidP="00542956">
      <w:pPr>
        <w:rPr>
          <w:sz w:val="22"/>
        </w:rPr>
      </w:pPr>
    </w:p>
    <w:p w:rsidR="00542956" w:rsidRPr="004B7FFA" w:rsidRDefault="00542956" w:rsidP="001765BC">
      <w:pPr>
        <w:ind w:left="720"/>
        <w:rPr>
          <w:sz w:val="22"/>
        </w:rPr>
      </w:pPr>
      <w:r w:rsidRPr="004B7FFA">
        <w:rPr>
          <w:sz w:val="22"/>
        </w:rPr>
        <w:t xml:space="preserve">Recommended: Teaford, “Introduction” and “1945” in </w:t>
      </w:r>
      <w:r w:rsidRPr="004B7FFA">
        <w:rPr>
          <w:i/>
          <w:sz w:val="22"/>
        </w:rPr>
        <w:t xml:space="preserve">The Metropolitan Revolution </w:t>
      </w:r>
      <w:r w:rsidRPr="004B7FFA">
        <w:rPr>
          <w:sz w:val="22"/>
        </w:rPr>
        <w:t>(1-48)  [Reserve]</w:t>
      </w:r>
    </w:p>
    <w:p w:rsidR="00542956" w:rsidRDefault="00542956" w:rsidP="00542956">
      <w:pPr>
        <w:pStyle w:val="Heading1"/>
        <w:rPr>
          <w:sz w:val="22"/>
          <w:u w:val="none"/>
        </w:rPr>
      </w:pPr>
    </w:p>
    <w:p w:rsidR="00542956" w:rsidRDefault="00542956" w:rsidP="00542956">
      <w:pPr>
        <w:pStyle w:val="Heading1"/>
        <w:rPr>
          <w:sz w:val="22"/>
          <w:u w:val="none"/>
        </w:rPr>
      </w:pPr>
    </w:p>
    <w:p w:rsidR="00542956" w:rsidRPr="00500CAB" w:rsidRDefault="00542956" w:rsidP="00542956">
      <w:pPr>
        <w:pStyle w:val="Heading1"/>
        <w:rPr>
          <w:b/>
        </w:rPr>
      </w:pPr>
      <w:r>
        <w:rPr>
          <w:b/>
        </w:rPr>
        <w:t>Week 3—2/</w:t>
      </w:r>
      <w:r w:rsidR="002E70BD">
        <w:rPr>
          <w:b/>
        </w:rPr>
        <w:t>3</w:t>
      </w:r>
      <w:r>
        <w:rPr>
          <w:b/>
        </w:rPr>
        <w:t>-2/</w:t>
      </w:r>
      <w:r w:rsidR="002E70BD">
        <w:rPr>
          <w:b/>
        </w:rPr>
        <w:t>7</w:t>
      </w:r>
    </w:p>
    <w:p w:rsidR="00542956" w:rsidRDefault="00542956" w:rsidP="00542956">
      <w:pPr>
        <w:rPr>
          <w:sz w:val="22"/>
        </w:rPr>
      </w:pPr>
    </w:p>
    <w:p w:rsidR="00542956" w:rsidRPr="00500CAB" w:rsidRDefault="00542956" w:rsidP="00542956">
      <w:pPr>
        <w:rPr>
          <w:b/>
          <w:sz w:val="22"/>
        </w:rPr>
      </w:pPr>
      <w:r w:rsidRPr="00500CAB">
        <w:rPr>
          <w:b/>
          <w:sz w:val="22"/>
        </w:rPr>
        <w:t>Planning the Postwar City: Public Housing and Urban Renewal</w:t>
      </w:r>
    </w:p>
    <w:p w:rsidR="00542956" w:rsidRPr="004B7FFA" w:rsidRDefault="00542956" w:rsidP="00542956">
      <w:pPr>
        <w:pStyle w:val="Heading2"/>
        <w:rPr>
          <w:b w:val="0"/>
        </w:rPr>
      </w:pPr>
    </w:p>
    <w:p w:rsidR="00542956" w:rsidRPr="00500CAB" w:rsidRDefault="00542956" w:rsidP="00542956">
      <w:r w:rsidRPr="00500CAB">
        <w:t>(SECTIO</w:t>
      </w:r>
      <w:r>
        <w:t xml:space="preserve">NS BEGIN THIS FRIDAY, February </w:t>
      </w:r>
      <w:r w:rsidR="002E70BD">
        <w:t>7</w:t>
      </w:r>
      <w:r w:rsidRPr="00500CAB">
        <w:rPr>
          <w:vertAlign w:val="superscript"/>
        </w:rPr>
        <w:t>th</w:t>
      </w:r>
      <w:r w:rsidRPr="00500CAB">
        <w:t>)</w:t>
      </w:r>
    </w:p>
    <w:p w:rsidR="00542956" w:rsidRPr="00500CAB" w:rsidRDefault="00542956" w:rsidP="00542956"/>
    <w:p w:rsidR="00542956" w:rsidRPr="003306DD" w:rsidRDefault="00542956" w:rsidP="00542956">
      <w:pPr>
        <w:pStyle w:val="Heading1"/>
      </w:pPr>
      <w:r w:rsidRPr="003306DD">
        <w:rPr>
          <w:sz w:val="22"/>
          <w:u w:val="none"/>
        </w:rPr>
        <w:t>Reading: Sugrue, Chapters 2 and 3 (33-88)</w:t>
      </w:r>
    </w:p>
    <w:p w:rsidR="00542956" w:rsidRPr="003306DD" w:rsidRDefault="00542956" w:rsidP="00542956"/>
    <w:p w:rsidR="00542956" w:rsidRDefault="00542956" w:rsidP="00542956">
      <w:pPr>
        <w:rPr>
          <w:sz w:val="22"/>
        </w:rPr>
      </w:pPr>
      <w:r w:rsidRPr="00F028A2">
        <w:rPr>
          <w:sz w:val="22"/>
        </w:rPr>
        <w:t>Alison Isenberg, “’The Demolition of Our Outworn Past’: Suburban Shoppers and the Logic of Urban Renewal” (X)</w:t>
      </w:r>
    </w:p>
    <w:p w:rsidR="00542956" w:rsidRDefault="00542956" w:rsidP="00542956">
      <w:pPr>
        <w:rPr>
          <w:sz w:val="22"/>
        </w:rPr>
      </w:pPr>
    </w:p>
    <w:p w:rsidR="00542956" w:rsidRPr="00F028A2" w:rsidRDefault="00542956" w:rsidP="00542956">
      <w:pPr>
        <w:rPr>
          <w:sz w:val="22"/>
        </w:rPr>
      </w:pPr>
      <w:r>
        <w:rPr>
          <w:sz w:val="22"/>
        </w:rPr>
        <w:t xml:space="preserve">Watch: </w:t>
      </w:r>
      <w:r w:rsidRPr="00BD5A40">
        <w:rPr>
          <w:i/>
          <w:sz w:val="22"/>
        </w:rPr>
        <w:t>Bunker Hill, 1965</w:t>
      </w:r>
      <w:r>
        <w:rPr>
          <w:sz w:val="22"/>
        </w:rPr>
        <w:t xml:space="preserve"> (17 min.) and </w:t>
      </w:r>
      <w:r w:rsidRPr="00BD5A40">
        <w:rPr>
          <w:i/>
          <w:sz w:val="22"/>
        </w:rPr>
        <w:t>Bunker Hill: A Tale of Urban Renewal</w:t>
      </w:r>
      <w:r>
        <w:rPr>
          <w:sz w:val="22"/>
        </w:rPr>
        <w:t xml:space="preserve"> (22 min.)</w:t>
      </w:r>
    </w:p>
    <w:p w:rsidR="00542956" w:rsidRPr="003306DD" w:rsidRDefault="00542956" w:rsidP="00542956"/>
    <w:p w:rsidR="00542956" w:rsidRPr="003306DD" w:rsidRDefault="00542956" w:rsidP="00542956">
      <w:pPr>
        <w:pStyle w:val="Heading1"/>
        <w:ind w:firstLine="720"/>
        <w:rPr>
          <w:sz w:val="22"/>
          <w:u w:val="none"/>
        </w:rPr>
      </w:pPr>
      <w:r w:rsidRPr="003306DD">
        <w:rPr>
          <w:sz w:val="22"/>
          <w:u w:val="none"/>
        </w:rPr>
        <w:t>Recommended: Teaford, “Reinforcing The Status Quo” (49-89)</w:t>
      </w:r>
    </w:p>
    <w:p w:rsidR="00542956" w:rsidRPr="003306DD" w:rsidRDefault="00542956" w:rsidP="00542956"/>
    <w:p w:rsidR="00542956" w:rsidRPr="00500CAB" w:rsidRDefault="002E70BD" w:rsidP="00542956">
      <w:pPr>
        <w:pStyle w:val="Heading1"/>
        <w:rPr>
          <w:b/>
        </w:rPr>
      </w:pPr>
      <w:r>
        <w:rPr>
          <w:b/>
        </w:rPr>
        <w:t>Week 4—2/10</w:t>
      </w:r>
      <w:r w:rsidR="00542956">
        <w:rPr>
          <w:b/>
        </w:rPr>
        <w:t>-2/1</w:t>
      </w:r>
      <w:r>
        <w:rPr>
          <w:b/>
        </w:rPr>
        <w:t>4</w:t>
      </w:r>
    </w:p>
    <w:p w:rsidR="00542956" w:rsidRDefault="00542956" w:rsidP="00542956">
      <w:pPr>
        <w:pStyle w:val="BodyTextIndent"/>
        <w:rPr>
          <w:sz w:val="22"/>
        </w:rPr>
      </w:pPr>
    </w:p>
    <w:p w:rsidR="00542956" w:rsidRDefault="00542956" w:rsidP="00542956">
      <w:pPr>
        <w:pStyle w:val="BodyTextIndent"/>
        <w:rPr>
          <w:sz w:val="22"/>
        </w:rPr>
      </w:pPr>
      <w:r w:rsidRPr="003306DD">
        <w:rPr>
          <w:b/>
          <w:sz w:val="22"/>
        </w:rPr>
        <w:t xml:space="preserve">Deindustrialization and </w:t>
      </w:r>
      <w:r w:rsidRPr="00500CAB">
        <w:rPr>
          <w:b/>
          <w:sz w:val="22"/>
        </w:rPr>
        <w:t>The Rise of the Sunbelt</w:t>
      </w:r>
    </w:p>
    <w:p w:rsidR="00542956" w:rsidRPr="00942BAD" w:rsidRDefault="00542956" w:rsidP="00542956"/>
    <w:p w:rsidR="00542956" w:rsidRDefault="00542956" w:rsidP="00542956">
      <w:pPr>
        <w:rPr>
          <w:sz w:val="22"/>
        </w:rPr>
      </w:pPr>
      <w:r>
        <w:rPr>
          <w:sz w:val="22"/>
        </w:rPr>
        <w:t>Reading: Sugrue, Part Two (Skim 91-124, Read 125-178)</w:t>
      </w:r>
    </w:p>
    <w:p w:rsidR="00542956" w:rsidRDefault="00542956" w:rsidP="00542956">
      <w:pPr>
        <w:rPr>
          <w:sz w:val="22"/>
        </w:rPr>
      </w:pPr>
    </w:p>
    <w:p w:rsidR="00542956" w:rsidRDefault="00542956" w:rsidP="00542956">
      <w:pPr>
        <w:rPr>
          <w:sz w:val="22"/>
        </w:rPr>
      </w:pPr>
      <w:r>
        <w:rPr>
          <w:sz w:val="22"/>
        </w:rPr>
        <w:t>Lemann, begin “Washington” (109-222)</w:t>
      </w:r>
    </w:p>
    <w:p w:rsidR="00542956" w:rsidRDefault="00542956" w:rsidP="00542956">
      <w:pPr>
        <w:rPr>
          <w:sz w:val="22"/>
        </w:rPr>
      </w:pPr>
    </w:p>
    <w:p w:rsidR="00542956" w:rsidRDefault="00542956" w:rsidP="00542956">
      <w:pPr>
        <w:pStyle w:val="Heading1"/>
        <w:rPr>
          <w:b/>
          <w:sz w:val="22"/>
        </w:rPr>
      </w:pPr>
    </w:p>
    <w:p w:rsidR="00542956" w:rsidRPr="00500CAB" w:rsidRDefault="00542956" w:rsidP="00542956">
      <w:pPr>
        <w:pStyle w:val="Heading1"/>
        <w:rPr>
          <w:b/>
        </w:rPr>
      </w:pPr>
      <w:r>
        <w:rPr>
          <w:b/>
        </w:rPr>
        <w:t>Week 5—2/</w:t>
      </w:r>
      <w:r w:rsidR="002E70BD">
        <w:rPr>
          <w:b/>
        </w:rPr>
        <w:t>17</w:t>
      </w:r>
      <w:r>
        <w:rPr>
          <w:b/>
        </w:rPr>
        <w:t>-2/</w:t>
      </w:r>
      <w:r w:rsidR="002E70BD">
        <w:rPr>
          <w:b/>
        </w:rPr>
        <w:t>21</w:t>
      </w:r>
    </w:p>
    <w:p w:rsidR="00542956" w:rsidRDefault="00542956" w:rsidP="00542956">
      <w:pPr>
        <w:rPr>
          <w:sz w:val="22"/>
        </w:rPr>
      </w:pPr>
      <w:r w:rsidRPr="00942BAD">
        <w:rPr>
          <w:b/>
          <w:sz w:val="22"/>
        </w:rPr>
        <w:t>(</w:t>
      </w:r>
      <w:r w:rsidRPr="00500CAB">
        <w:rPr>
          <w:b/>
          <w:sz w:val="22"/>
        </w:rPr>
        <w:t>NO CLASS</w:t>
      </w:r>
      <w:r w:rsidR="002E70BD">
        <w:rPr>
          <w:sz w:val="22"/>
        </w:rPr>
        <w:t xml:space="preserve"> Monday February 17</w:t>
      </w:r>
      <w:r w:rsidR="002E70BD">
        <w:rPr>
          <w:sz w:val="22"/>
          <w:vertAlign w:val="superscript"/>
        </w:rPr>
        <w:t>th</w:t>
      </w:r>
      <w:r w:rsidRPr="00F028A2">
        <w:rPr>
          <w:sz w:val="22"/>
        </w:rPr>
        <w:t>)</w:t>
      </w:r>
    </w:p>
    <w:p w:rsidR="00542956" w:rsidRDefault="00542956" w:rsidP="00542956">
      <w:pPr>
        <w:pStyle w:val="Heading3"/>
        <w:rPr>
          <w:sz w:val="22"/>
        </w:rPr>
      </w:pPr>
    </w:p>
    <w:p w:rsidR="00542956" w:rsidRPr="00F028A2" w:rsidRDefault="00542956" w:rsidP="00542956">
      <w:pPr>
        <w:rPr>
          <w:b/>
          <w:sz w:val="22"/>
        </w:rPr>
      </w:pPr>
      <w:r w:rsidRPr="005F1190">
        <w:rPr>
          <w:b/>
          <w:sz w:val="22"/>
        </w:rPr>
        <w:t xml:space="preserve">The Great Society and </w:t>
      </w:r>
      <w:r w:rsidRPr="00F028A2">
        <w:rPr>
          <w:b/>
          <w:sz w:val="22"/>
        </w:rPr>
        <w:t>The Urban Crisis</w:t>
      </w:r>
    </w:p>
    <w:p w:rsidR="00542956" w:rsidRPr="00F028A2" w:rsidRDefault="00542956" w:rsidP="00542956">
      <w:pPr>
        <w:rPr>
          <w:b/>
          <w:sz w:val="22"/>
        </w:rPr>
      </w:pPr>
    </w:p>
    <w:p w:rsidR="00542956" w:rsidRDefault="00542956" w:rsidP="00542956">
      <w:pPr>
        <w:rPr>
          <w:sz w:val="22"/>
        </w:rPr>
      </w:pPr>
      <w:r w:rsidRPr="00A6131F">
        <w:rPr>
          <w:sz w:val="22"/>
        </w:rPr>
        <w:t>Reading:</w:t>
      </w:r>
      <w:r>
        <w:rPr>
          <w:sz w:val="22"/>
        </w:rPr>
        <w:t xml:space="preserve"> Sugrue, Part Three and Conclusion (179-271)</w:t>
      </w:r>
    </w:p>
    <w:p w:rsidR="00542956" w:rsidRDefault="00542956" w:rsidP="00542956">
      <w:pPr>
        <w:rPr>
          <w:sz w:val="22"/>
        </w:rPr>
      </w:pPr>
    </w:p>
    <w:p w:rsidR="00542956" w:rsidRDefault="00542956" w:rsidP="00542956">
      <w:pPr>
        <w:rPr>
          <w:sz w:val="22"/>
        </w:rPr>
      </w:pPr>
      <w:r>
        <w:rPr>
          <w:sz w:val="22"/>
        </w:rPr>
        <w:t>Lemann, finish “Washington” and “Chicago” (223-306)</w:t>
      </w:r>
    </w:p>
    <w:p w:rsidR="00542956" w:rsidRDefault="00542956" w:rsidP="00542956">
      <w:pPr>
        <w:rPr>
          <w:sz w:val="22"/>
        </w:rPr>
      </w:pPr>
    </w:p>
    <w:p w:rsidR="00542956" w:rsidRDefault="00542956" w:rsidP="00542956">
      <w:pPr>
        <w:ind w:firstLine="720"/>
        <w:rPr>
          <w:sz w:val="22"/>
        </w:rPr>
      </w:pPr>
      <w:r>
        <w:rPr>
          <w:sz w:val="22"/>
        </w:rPr>
        <w:t>Recommended: Teaford,  “The Debacle” (125-164) [Reserve]</w:t>
      </w:r>
    </w:p>
    <w:p w:rsidR="00542956" w:rsidRDefault="00542956" w:rsidP="00542956">
      <w:pPr>
        <w:rPr>
          <w:sz w:val="22"/>
        </w:rPr>
      </w:pPr>
    </w:p>
    <w:p w:rsidR="00542956" w:rsidRDefault="00542956" w:rsidP="00542956">
      <w:pPr>
        <w:pStyle w:val="Heading1"/>
        <w:rPr>
          <w:b/>
        </w:rPr>
      </w:pPr>
    </w:p>
    <w:p w:rsidR="00542956" w:rsidRPr="00500CAB" w:rsidRDefault="00542956" w:rsidP="00542956">
      <w:pPr>
        <w:pStyle w:val="Heading1"/>
      </w:pPr>
      <w:r w:rsidRPr="00500CAB">
        <w:rPr>
          <w:b/>
        </w:rPr>
        <w:t>Week 6—</w:t>
      </w:r>
      <w:r w:rsidR="002E70BD">
        <w:rPr>
          <w:b/>
        </w:rPr>
        <w:t>2/24</w:t>
      </w:r>
      <w:r w:rsidRPr="00500CAB">
        <w:rPr>
          <w:b/>
        </w:rPr>
        <w:t>-</w:t>
      </w:r>
      <w:r w:rsidR="002E70BD">
        <w:rPr>
          <w:b/>
        </w:rPr>
        <w:t>2/28</w:t>
      </w:r>
    </w:p>
    <w:p w:rsidR="00542956" w:rsidRDefault="00542956" w:rsidP="00542956">
      <w:pPr>
        <w:ind w:left="720" w:hanging="720"/>
        <w:rPr>
          <w:sz w:val="22"/>
        </w:rPr>
      </w:pPr>
    </w:p>
    <w:p w:rsidR="00542956" w:rsidRPr="00942BAD" w:rsidRDefault="00542956" w:rsidP="00542956">
      <w:pPr>
        <w:rPr>
          <w:b/>
          <w:sz w:val="22"/>
        </w:rPr>
      </w:pPr>
      <w:r w:rsidRPr="003306DD">
        <w:rPr>
          <w:b/>
          <w:sz w:val="22"/>
        </w:rPr>
        <w:t>The Sitcom Suburbs</w:t>
      </w:r>
      <w:r w:rsidRPr="003306DD">
        <w:rPr>
          <w:b/>
          <w:sz w:val="22"/>
        </w:rPr>
        <w:tab/>
      </w:r>
    </w:p>
    <w:p w:rsidR="00542956" w:rsidRDefault="00542956" w:rsidP="00542956">
      <w:pPr>
        <w:rPr>
          <w:sz w:val="22"/>
        </w:rPr>
      </w:pPr>
    </w:p>
    <w:p w:rsidR="00542956" w:rsidRPr="003306DD" w:rsidRDefault="00542956" w:rsidP="00542956">
      <w:pPr>
        <w:rPr>
          <w:sz w:val="22"/>
        </w:rPr>
      </w:pPr>
      <w:r w:rsidRPr="003306DD">
        <w:rPr>
          <w:sz w:val="22"/>
        </w:rPr>
        <w:t>Reading: Nicolaides and Wiese, pages 225-290</w:t>
      </w:r>
    </w:p>
    <w:p w:rsidR="00542956" w:rsidRDefault="00542956" w:rsidP="00542956">
      <w:pPr>
        <w:rPr>
          <w:sz w:val="22"/>
        </w:rPr>
      </w:pPr>
      <w:r w:rsidRPr="00942BAD">
        <w:rPr>
          <w:b/>
          <w:sz w:val="22"/>
        </w:rPr>
        <w:tab/>
      </w:r>
      <w:r w:rsidRPr="00942BAD">
        <w:rPr>
          <w:b/>
          <w:sz w:val="22"/>
        </w:rPr>
        <w:tab/>
      </w:r>
    </w:p>
    <w:p w:rsidR="00542956" w:rsidRDefault="00542956" w:rsidP="00542956">
      <w:pPr>
        <w:ind w:firstLine="720"/>
        <w:rPr>
          <w:sz w:val="22"/>
        </w:rPr>
      </w:pPr>
      <w:r>
        <w:rPr>
          <w:sz w:val="22"/>
        </w:rPr>
        <w:t>Recommended: Teaford, “Coming Apart” (90-124) [Reserve]</w:t>
      </w:r>
    </w:p>
    <w:p w:rsidR="00542956" w:rsidRDefault="00542956" w:rsidP="00542956">
      <w:pPr>
        <w:rPr>
          <w:b/>
          <w:sz w:val="22"/>
        </w:rPr>
      </w:pPr>
    </w:p>
    <w:p w:rsidR="00542956" w:rsidRPr="00F028A2" w:rsidRDefault="00542956" w:rsidP="00542956">
      <w:pPr>
        <w:rPr>
          <w:b/>
          <w:sz w:val="22"/>
        </w:rPr>
      </w:pPr>
      <w:r w:rsidRPr="00F028A2">
        <w:rPr>
          <w:b/>
          <w:sz w:val="22"/>
        </w:rPr>
        <w:t xml:space="preserve">PAPER #1 DUE WEDNESDAY </w:t>
      </w:r>
      <w:r w:rsidR="002E70BD">
        <w:rPr>
          <w:b/>
          <w:sz w:val="22"/>
        </w:rPr>
        <w:t>2/26</w:t>
      </w:r>
      <w:r w:rsidRPr="00F028A2">
        <w:rPr>
          <w:b/>
          <w:sz w:val="22"/>
        </w:rPr>
        <w:t xml:space="preserve"> IN CLASS</w:t>
      </w:r>
    </w:p>
    <w:p w:rsidR="00542956" w:rsidRDefault="00542956" w:rsidP="00542956">
      <w:pPr>
        <w:rPr>
          <w:sz w:val="22"/>
        </w:rPr>
      </w:pPr>
    </w:p>
    <w:p w:rsidR="00542956" w:rsidRDefault="00542956" w:rsidP="00542956">
      <w:pPr>
        <w:pStyle w:val="Heading1"/>
        <w:rPr>
          <w:b/>
          <w:sz w:val="22"/>
          <w:u w:val="none"/>
        </w:rPr>
      </w:pPr>
    </w:p>
    <w:p w:rsidR="00542956" w:rsidRPr="00500CAB" w:rsidRDefault="00542956" w:rsidP="00542956">
      <w:pPr>
        <w:pStyle w:val="Heading1"/>
        <w:rPr>
          <w:b/>
        </w:rPr>
      </w:pPr>
      <w:r w:rsidRPr="00500CAB">
        <w:rPr>
          <w:b/>
        </w:rPr>
        <w:t>Week 7—</w:t>
      </w:r>
      <w:r w:rsidR="002E70BD">
        <w:rPr>
          <w:b/>
        </w:rPr>
        <w:t>3/3-3/7</w:t>
      </w:r>
    </w:p>
    <w:p w:rsidR="00542956" w:rsidRDefault="00542956" w:rsidP="00542956">
      <w:pPr>
        <w:ind w:left="720" w:hanging="720"/>
        <w:rPr>
          <w:sz w:val="22"/>
        </w:rPr>
      </w:pPr>
    </w:p>
    <w:p w:rsidR="00542956" w:rsidRDefault="00542956" w:rsidP="00542956">
      <w:r w:rsidRPr="00942BAD">
        <w:rPr>
          <w:b/>
          <w:sz w:val="22"/>
        </w:rPr>
        <w:t>Gender and Cold War i</w:t>
      </w:r>
      <w:r w:rsidRPr="003306DD">
        <w:rPr>
          <w:b/>
          <w:sz w:val="22"/>
        </w:rPr>
        <w:t>n the Culture of the Suburbs</w:t>
      </w:r>
    </w:p>
    <w:p w:rsidR="00542956" w:rsidRDefault="00542956" w:rsidP="00542956">
      <w:pPr>
        <w:rPr>
          <w:sz w:val="22"/>
        </w:rPr>
      </w:pPr>
    </w:p>
    <w:p w:rsidR="00542956" w:rsidRDefault="00542956" w:rsidP="00542956">
      <w:pPr>
        <w:rPr>
          <w:sz w:val="22"/>
        </w:rPr>
      </w:pPr>
      <w:r>
        <w:rPr>
          <w:sz w:val="22"/>
        </w:rPr>
        <w:t>Reading: Nicolaides and Wiese, 291-321</w:t>
      </w:r>
    </w:p>
    <w:p w:rsidR="00542956" w:rsidRDefault="00542956" w:rsidP="00542956">
      <w:pPr>
        <w:rPr>
          <w:sz w:val="22"/>
        </w:rPr>
      </w:pPr>
    </w:p>
    <w:p w:rsidR="00542956" w:rsidRPr="00F028A2" w:rsidRDefault="00542956" w:rsidP="00542956">
      <w:pPr>
        <w:rPr>
          <w:sz w:val="22"/>
        </w:rPr>
      </w:pPr>
      <w:r w:rsidRPr="00F028A2">
        <w:rPr>
          <w:sz w:val="22"/>
        </w:rPr>
        <w:t>Lizabeth Cohen, “Reconfiguring Community Marketplaces” (X)</w:t>
      </w:r>
    </w:p>
    <w:p w:rsidR="00542956" w:rsidRDefault="00542956" w:rsidP="00542956">
      <w:pPr>
        <w:rPr>
          <w:sz w:val="22"/>
        </w:rPr>
      </w:pPr>
    </w:p>
    <w:p w:rsidR="00542956" w:rsidRPr="00F028A2" w:rsidRDefault="00542956" w:rsidP="00542956">
      <w:pPr>
        <w:rPr>
          <w:sz w:val="22"/>
        </w:rPr>
      </w:pPr>
      <w:r>
        <w:rPr>
          <w:sz w:val="22"/>
        </w:rPr>
        <w:t xml:space="preserve">Watch: </w:t>
      </w:r>
      <w:r w:rsidRPr="00F028A2">
        <w:rPr>
          <w:i/>
          <w:sz w:val="22"/>
        </w:rPr>
        <w:t>The Man in the Gray Flannel Suit</w:t>
      </w:r>
      <w:r w:rsidRPr="00F028A2">
        <w:rPr>
          <w:sz w:val="22"/>
        </w:rPr>
        <w:t>, dir. Nunnally Johnson (153 min.)</w:t>
      </w:r>
    </w:p>
    <w:p w:rsidR="00542956" w:rsidRDefault="00542956" w:rsidP="00542956">
      <w:pPr>
        <w:rPr>
          <w:sz w:val="22"/>
        </w:rPr>
      </w:pPr>
    </w:p>
    <w:p w:rsidR="00542956" w:rsidRDefault="00542956" w:rsidP="00542956">
      <w:pPr>
        <w:rPr>
          <w:sz w:val="22"/>
        </w:rPr>
      </w:pPr>
    </w:p>
    <w:p w:rsidR="00542956" w:rsidRPr="00500CAB" w:rsidRDefault="00542956" w:rsidP="00542956">
      <w:pPr>
        <w:pStyle w:val="Heading1"/>
        <w:rPr>
          <w:b/>
        </w:rPr>
      </w:pPr>
      <w:r w:rsidRPr="00500CAB">
        <w:rPr>
          <w:b/>
        </w:rPr>
        <w:t>Week 8—</w:t>
      </w:r>
      <w:r w:rsidR="002E70BD">
        <w:rPr>
          <w:b/>
        </w:rPr>
        <w:t>3/10-3/14</w:t>
      </w:r>
    </w:p>
    <w:p w:rsidR="00542956" w:rsidRDefault="00542956" w:rsidP="00542956">
      <w:pPr>
        <w:ind w:left="720" w:hanging="720"/>
        <w:rPr>
          <w:sz w:val="22"/>
        </w:rPr>
      </w:pPr>
    </w:p>
    <w:p w:rsidR="00542956" w:rsidRDefault="00542956" w:rsidP="00542956">
      <w:r w:rsidRPr="003306DD">
        <w:rPr>
          <w:b/>
          <w:sz w:val="22"/>
        </w:rPr>
        <w:t>Suburbs, Race, and the New Metropolitan Order</w:t>
      </w:r>
    </w:p>
    <w:p w:rsidR="00542956" w:rsidRPr="008C500B" w:rsidRDefault="00542956" w:rsidP="00542956">
      <w:pPr>
        <w:pStyle w:val="Heading3"/>
        <w:ind w:left="0" w:firstLine="0"/>
        <w:rPr>
          <w:sz w:val="22"/>
        </w:rPr>
      </w:pPr>
    </w:p>
    <w:p w:rsidR="00542956" w:rsidRPr="008C500B" w:rsidRDefault="00542956" w:rsidP="00542956">
      <w:pPr>
        <w:pStyle w:val="Heading3"/>
        <w:ind w:left="0" w:firstLine="720"/>
        <w:rPr>
          <w:sz w:val="22"/>
        </w:rPr>
      </w:pPr>
      <w:r w:rsidRPr="00490835">
        <w:rPr>
          <w:sz w:val="22"/>
        </w:rPr>
        <w:t>MIDTERM IN CLASS</w:t>
      </w:r>
      <w:r w:rsidRPr="00942BAD">
        <w:rPr>
          <w:b w:val="0"/>
          <w:sz w:val="22"/>
        </w:rPr>
        <w:t xml:space="preserve">, Wednesday, March </w:t>
      </w:r>
      <w:r w:rsidR="001765BC">
        <w:rPr>
          <w:b w:val="0"/>
          <w:sz w:val="22"/>
        </w:rPr>
        <w:t>12</w:t>
      </w:r>
      <w:r w:rsidRPr="00942BAD">
        <w:rPr>
          <w:b w:val="0"/>
          <w:sz w:val="22"/>
        </w:rPr>
        <w:t>th</w:t>
      </w:r>
    </w:p>
    <w:p w:rsidR="00542956" w:rsidRDefault="00542956" w:rsidP="00542956">
      <w:pPr>
        <w:pStyle w:val="Heading1"/>
        <w:rPr>
          <w:sz w:val="22"/>
        </w:rPr>
      </w:pPr>
    </w:p>
    <w:p w:rsidR="00542956" w:rsidRDefault="00542956" w:rsidP="00542956">
      <w:pPr>
        <w:rPr>
          <w:sz w:val="22"/>
        </w:rPr>
      </w:pPr>
      <w:r w:rsidRPr="00F028A2">
        <w:rPr>
          <w:sz w:val="22"/>
        </w:rPr>
        <w:t>Reading: Nicolaides and Wiese, 321-378</w:t>
      </w:r>
    </w:p>
    <w:p w:rsidR="00542956" w:rsidRDefault="00542956" w:rsidP="00542956">
      <w:pPr>
        <w:rPr>
          <w:sz w:val="22"/>
        </w:rPr>
      </w:pPr>
    </w:p>
    <w:p w:rsidR="00542956" w:rsidRDefault="00542956" w:rsidP="00542956">
      <w:pPr>
        <w:rPr>
          <w:sz w:val="22"/>
        </w:rPr>
      </w:pPr>
      <w:r>
        <w:rPr>
          <w:sz w:val="22"/>
        </w:rPr>
        <w:t>Raymond Mohl, “Stop the Road: Freeway Revolts in American Cities” (X)</w:t>
      </w:r>
    </w:p>
    <w:p w:rsidR="00542956" w:rsidRPr="004B7FFA" w:rsidRDefault="00542956" w:rsidP="00542956"/>
    <w:p w:rsidR="00542956" w:rsidRDefault="00542956" w:rsidP="00542956">
      <w:pPr>
        <w:rPr>
          <w:sz w:val="22"/>
        </w:rPr>
      </w:pPr>
    </w:p>
    <w:p w:rsidR="00542956" w:rsidRPr="00500CAB" w:rsidRDefault="00542956" w:rsidP="00542956">
      <w:pPr>
        <w:pStyle w:val="Heading1"/>
        <w:rPr>
          <w:b/>
        </w:rPr>
      </w:pPr>
      <w:r w:rsidRPr="00500CAB">
        <w:rPr>
          <w:b/>
        </w:rPr>
        <w:t>Week 9—</w:t>
      </w:r>
      <w:r w:rsidR="002E70BD">
        <w:rPr>
          <w:b/>
        </w:rPr>
        <w:t>3/17-3/21</w:t>
      </w:r>
    </w:p>
    <w:p w:rsidR="00542956" w:rsidRDefault="00542956" w:rsidP="00542956">
      <w:pPr>
        <w:ind w:left="720" w:hanging="720"/>
        <w:rPr>
          <w:sz w:val="22"/>
        </w:rPr>
      </w:pPr>
    </w:p>
    <w:p w:rsidR="00542956" w:rsidRDefault="00542956" w:rsidP="00542956">
      <w:pPr>
        <w:pStyle w:val="Heading3"/>
        <w:ind w:left="2160" w:hanging="2160"/>
        <w:rPr>
          <w:i/>
          <w:sz w:val="22"/>
        </w:rPr>
      </w:pPr>
      <w:r w:rsidRPr="003306DD">
        <w:rPr>
          <w:sz w:val="22"/>
        </w:rPr>
        <w:t>Suburban Politics: The Fall of Liberalism, the Rise of Conservatism</w:t>
      </w:r>
    </w:p>
    <w:p w:rsidR="00542956" w:rsidRDefault="00542956" w:rsidP="00542956">
      <w:pPr>
        <w:rPr>
          <w:sz w:val="22"/>
        </w:rPr>
      </w:pPr>
    </w:p>
    <w:p w:rsidR="00542956" w:rsidRDefault="00542956" w:rsidP="00542956">
      <w:pPr>
        <w:rPr>
          <w:sz w:val="22"/>
        </w:rPr>
      </w:pPr>
      <w:r>
        <w:rPr>
          <w:sz w:val="22"/>
        </w:rPr>
        <w:t>Reading: Nicolaides and Wiese, 379-408</w:t>
      </w:r>
    </w:p>
    <w:p w:rsidR="00542956" w:rsidRDefault="00542956" w:rsidP="00542956">
      <w:pPr>
        <w:rPr>
          <w:b/>
          <w:sz w:val="22"/>
          <w:u w:val="single"/>
        </w:rPr>
      </w:pPr>
    </w:p>
    <w:p w:rsidR="00542956" w:rsidRPr="008C500B" w:rsidRDefault="00542956" w:rsidP="00542956">
      <w:pPr>
        <w:rPr>
          <w:b/>
        </w:rPr>
      </w:pPr>
    </w:p>
    <w:p w:rsidR="00542956" w:rsidRPr="008C500B" w:rsidRDefault="00542956" w:rsidP="00542956">
      <w:pPr>
        <w:rPr>
          <w:b/>
        </w:rPr>
      </w:pPr>
      <w:r w:rsidRPr="008C500B">
        <w:rPr>
          <w:b/>
        </w:rPr>
        <w:t xml:space="preserve">SPRING BREAK </w:t>
      </w:r>
    </w:p>
    <w:p w:rsidR="00542956" w:rsidRPr="00942BAD" w:rsidRDefault="00542956" w:rsidP="00542956"/>
    <w:p w:rsidR="00542956" w:rsidRPr="00500CAB" w:rsidRDefault="00542956" w:rsidP="00542956">
      <w:pPr>
        <w:pStyle w:val="Heading2"/>
        <w:rPr>
          <w:u w:val="single"/>
        </w:rPr>
      </w:pPr>
    </w:p>
    <w:p w:rsidR="00542956" w:rsidRPr="00500CAB" w:rsidRDefault="00542956" w:rsidP="00542956">
      <w:pPr>
        <w:pStyle w:val="Heading2"/>
        <w:rPr>
          <w:u w:val="single"/>
        </w:rPr>
      </w:pPr>
      <w:r w:rsidRPr="00500CAB">
        <w:rPr>
          <w:u w:val="single"/>
        </w:rPr>
        <w:t>Week 10—</w:t>
      </w:r>
      <w:r w:rsidR="002E70BD">
        <w:rPr>
          <w:u w:val="single"/>
        </w:rPr>
        <w:t>3/31</w:t>
      </w:r>
      <w:r>
        <w:rPr>
          <w:u w:val="single"/>
        </w:rPr>
        <w:t>-4</w:t>
      </w:r>
      <w:r w:rsidR="002E70BD">
        <w:rPr>
          <w:u w:val="single"/>
        </w:rPr>
        <w:t>/4</w:t>
      </w:r>
    </w:p>
    <w:p w:rsidR="00542956" w:rsidRPr="00942BAD" w:rsidRDefault="00542956" w:rsidP="00542956"/>
    <w:p w:rsidR="00542956" w:rsidRPr="00F028A2" w:rsidRDefault="00542956" w:rsidP="00542956">
      <w:pPr>
        <w:rPr>
          <w:b/>
          <w:sz w:val="22"/>
        </w:rPr>
      </w:pPr>
      <w:r w:rsidRPr="00F028A2">
        <w:rPr>
          <w:b/>
          <w:sz w:val="22"/>
        </w:rPr>
        <w:t>Comeback Cities?</w:t>
      </w:r>
    </w:p>
    <w:p w:rsidR="00542956" w:rsidRPr="00942BAD" w:rsidRDefault="00542956" w:rsidP="00542956">
      <w:pPr>
        <w:rPr>
          <w:b/>
          <w:sz w:val="22"/>
        </w:rPr>
      </w:pPr>
    </w:p>
    <w:p w:rsidR="00542956" w:rsidRDefault="00542956" w:rsidP="00542956">
      <w:pPr>
        <w:rPr>
          <w:sz w:val="22"/>
        </w:rPr>
      </w:pPr>
      <w:r w:rsidRPr="00F028A2">
        <w:rPr>
          <w:sz w:val="22"/>
        </w:rPr>
        <w:t xml:space="preserve">Reading: Von Hoffman, </w:t>
      </w:r>
      <w:r w:rsidRPr="00F028A2">
        <w:rPr>
          <w:i/>
          <w:sz w:val="22"/>
        </w:rPr>
        <w:t>House By House, Block by Block</w:t>
      </w:r>
      <w:r w:rsidRPr="00F028A2">
        <w:rPr>
          <w:sz w:val="22"/>
        </w:rPr>
        <w:t>, 1-76, 111-158, 251-256</w:t>
      </w:r>
    </w:p>
    <w:p w:rsidR="00542956" w:rsidRDefault="00542956" w:rsidP="00542956">
      <w:pPr>
        <w:rPr>
          <w:sz w:val="22"/>
        </w:rPr>
      </w:pPr>
    </w:p>
    <w:p w:rsidR="00542956" w:rsidRPr="00F028A2" w:rsidRDefault="00542956" w:rsidP="00542956">
      <w:pPr>
        <w:rPr>
          <w:sz w:val="22"/>
        </w:rPr>
      </w:pPr>
      <w:r>
        <w:rPr>
          <w:sz w:val="22"/>
        </w:rPr>
        <w:t>Suleiman Osman, “The Decade of the Neighborhood” (X)</w:t>
      </w:r>
    </w:p>
    <w:p w:rsidR="00542956" w:rsidRPr="00942BAD" w:rsidRDefault="00542956" w:rsidP="00542956">
      <w:pPr>
        <w:pStyle w:val="Heading1"/>
        <w:rPr>
          <w:u w:val="none"/>
        </w:rPr>
      </w:pPr>
    </w:p>
    <w:p w:rsidR="002E70BD" w:rsidRPr="00F028A2" w:rsidRDefault="002E70BD" w:rsidP="002E70BD">
      <w:pPr>
        <w:rPr>
          <w:sz w:val="22"/>
        </w:rPr>
      </w:pPr>
      <w:r w:rsidRPr="00A6131F">
        <w:rPr>
          <w:sz w:val="22"/>
        </w:rPr>
        <w:t>Watch:</w:t>
      </w:r>
      <w:r>
        <w:rPr>
          <w:sz w:val="22"/>
        </w:rPr>
        <w:t xml:space="preserve"> </w:t>
      </w:r>
      <w:r w:rsidRPr="00F028A2">
        <w:rPr>
          <w:i/>
          <w:sz w:val="22"/>
        </w:rPr>
        <w:t>The Landlord</w:t>
      </w:r>
      <w:r w:rsidRPr="00F028A2">
        <w:rPr>
          <w:sz w:val="22"/>
        </w:rPr>
        <w:t>, dir. Hal Ashby (112 min.)</w:t>
      </w:r>
    </w:p>
    <w:p w:rsidR="00542956" w:rsidRPr="00F028A2" w:rsidRDefault="00542956" w:rsidP="00542956"/>
    <w:p w:rsidR="00542956" w:rsidRPr="00500CAB" w:rsidRDefault="002E70BD" w:rsidP="00542956">
      <w:pPr>
        <w:pStyle w:val="Heading1"/>
        <w:rPr>
          <w:b/>
        </w:rPr>
      </w:pPr>
      <w:r>
        <w:rPr>
          <w:b/>
        </w:rPr>
        <w:t>Week 11—4/7-4/11</w:t>
      </w:r>
      <w:r w:rsidR="00542956" w:rsidRPr="00500CAB">
        <w:rPr>
          <w:b/>
        </w:rPr>
        <w:t xml:space="preserve"> </w:t>
      </w:r>
    </w:p>
    <w:p w:rsidR="00542956" w:rsidRDefault="00542956" w:rsidP="00542956">
      <w:pPr>
        <w:pStyle w:val="Heading3"/>
        <w:ind w:left="0" w:firstLine="0"/>
        <w:rPr>
          <w:b w:val="0"/>
          <w:sz w:val="22"/>
        </w:rPr>
      </w:pPr>
    </w:p>
    <w:p w:rsidR="00542956" w:rsidRDefault="00542956" w:rsidP="00542956">
      <w:pPr>
        <w:pStyle w:val="Heading3"/>
        <w:ind w:left="0" w:firstLine="0"/>
        <w:rPr>
          <w:sz w:val="22"/>
        </w:rPr>
      </w:pPr>
      <w:r w:rsidRPr="00F028A2">
        <w:rPr>
          <w:sz w:val="22"/>
        </w:rPr>
        <w:t xml:space="preserve">A Post-Suburban </w:t>
      </w:r>
      <w:r w:rsidRPr="00F028A2">
        <w:rPr>
          <w:i/>
          <w:sz w:val="22"/>
        </w:rPr>
        <w:t>and</w:t>
      </w:r>
      <w:r w:rsidRPr="00F028A2">
        <w:rPr>
          <w:sz w:val="22"/>
        </w:rPr>
        <w:t xml:space="preserve"> Post-Urban Society?</w:t>
      </w:r>
    </w:p>
    <w:p w:rsidR="00542956" w:rsidRDefault="00542956" w:rsidP="00542956">
      <w:pPr>
        <w:pStyle w:val="Heading2"/>
        <w:rPr>
          <w:sz w:val="22"/>
        </w:rPr>
      </w:pPr>
    </w:p>
    <w:p w:rsidR="00542956" w:rsidRPr="00F028A2" w:rsidRDefault="00542956" w:rsidP="00542956">
      <w:pPr>
        <w:pStyle w:val="Heading2"/>
        <w:rPr>
          <w:b w:val="0"/>
          <w:sz w:val="22"/>
        </w:rPr>
      </w:pPr>
      <w:r w:rsidRPr="00F028A2">
        <w:rPr>
          <w:b w:val="0"/>
          <w:sz w:val="22"/>
        </w:rPr>
        <w:t>Reading: Nicolaides and Wiese, 409-438</w:t>
      </w:r>
    </w:p>
    <w:p w:rsidR="00542956" w:rsidRPr="003306DD" w:rsidRDefault="00542956" w:rsidP="00542956"/>
    <w:p w:rsidR="00542956" w:rsidRPr="00F028A2" w:rsidRDefault="00542956" w:rsidP="00542956">
      <w:pPr>
        <w:rPr>
          <w:sz w:val="22"/>
        </w:rPr>
      </w:pPr>
      <w:r w:rsidRPr="00F028A2">
        <w:rPr>
          <w:sz w:val="22"/>
        </w:rPr>
        <w:t>Von Hoffman, 207-250</w:t>
      </w:r>
    </w:p>
    <w:p w:rsidR="00542956" w:rsidRPr="003306DD" w:rsidRDefault="00542956" w:rsidP="00542956"/>
    <w:p w:rsidR="00542956" w:rsidRPr="003306DD" w:rsidRDefault="00542956" w:rsidP="00542956">
      <w:r w:rsidRPr="00A6131F">
        <w:rPr>
          <w:sz w:val="22"/>
        </w:rPr>
        <w:t>Watch:</w:t>
      </w:r>
      <w:r w:rsidRPr="003306DD">
        <w:t xml:space="preserve"> </w:t>
      </w:r>
      <w:r w:rsidRPr="00F028A2">
        <w:rPr>
          <w:i/>
          <w:sz w:val="22"/>
        </w:rPr>
        <w:t>La Ciudad</w:t>
      </w:r>
      <w:r w:rsidRPr="00F028A2">
        <w:rPr>
          <w:sz w:val="22"/>
        </w:rPr>
        <w:t>, dir. David Riker (1998)</w:t>
      </w:r>
    </w:p>
    <w:p w:rsidR="00542956" w:rsidRPr="003306DD" w:rsidRDefault="00542956" w:rsidP="00542956"/>
    <w:p w:rsidR="00542956" w:rsidRPr="003306DD" w:rsidRDefault="00542956" w:rsidP="00542956">
      <w:pPr>
        <w:pStyle w:val="Heading2"/>
        <w:ind w:firstLine="720"/>
        <w:rPr>
          <w:b w:val="0"/>
          <w:sz w:val="22"/>
        </w:rPr>
      </w:pPr>
      <w:r w:rsidRPr="003306DD">
        <w:rPr>
          <w:b w:val="0"/>
          <w:sz w:val="22"/>
        </w:rPr>
        <w:t>Recommended: Teaford, “Beyond the Black White City,” 165-238</w:t>
      </w:r>
      <w:r w:rsidRPr="003306DD">
        <w:rPr>
          <w:b w:val="0"/>
          <w:sz w:val="22"/>
        </w:rPr>
        <w:tab/>
      </w:r>
      <w:r w:rsidRPr="003306DD">
        <w:rPr>
          <w:b w:val="0"/>
          <w:sz w:val="22"/>
        </w:rPr>
        <w:tab/>
      </w:r>
    </w:p>
    <w:p w:rsidR="00542956" w:rsidRDefault="00542956" w:rsidP="00542956">
      <w:pPr>
        <w:rPr>
          <w:sz w:val="22"/>
        </w:rPr>
      </w:pPr>
    </w:p>
    <w:p w:rsidR="00542956" w:rsidRPr="00F028A2" w:rsidRDefault="00542956" w:rsidP="00542956">
      <w:pPr>
        <w:rPr>
          <w:b/>
          <w:sz w:val="22"/>
        </w:rPr>
      </w:pPr>
      <w:r w:rsidRPr="00F028A2">
        <w:rPr>
          <w:b/>
          <w:sz w:val="22"/>
        </w:rPr>
        <w:t>PAPER #2 DUE WEDNESDAY 4/</w:t>
      </w:r>
      <w:r w:rsidR="002E70BD">
        <w:rPr>
          <w:b/>
          <w:sz w:val="22"/>
        </w:rPr>
        <w:t>9</w:t>
      </w:r>
      <w:r w:rsidRPr="00F028A2">
        <w:rPr>
          <w:b/>
          <w:sz w:val="22"/>
        </w:rPr>
        <w:t xml:space="preserve"> IN CLASS</w:t>
      </w:r>
    </w:p>
    <w:p w:rsidR="00542956" w:rsidRDefault="00542956" w:rsidP="00542956">
      <w:pPr>
        <w:rPr>
          <w:sz w:val="22"/>
        </w:rPr>
      </w:pPr>
    </w:p>
    <w:p w:rsidR="00542956" w:rsidRPr="00942BAD" w:rsidRDefault="00542956" w:rsidP="00542956">
      <w:pPr>
        <w:rPr>
          <w:b/>
          <w:sz w:val="22"/>
          <w:u w:val="single"/>
        </w:rPr>
      </w:pPr>
    </w:p>
    <w:p w:rsidR="00542956" w:rsidRPr="00500CAB" w:rsidRDefault="00542956" w:rsidP="00542956">
      <w:pPr>
        <w:rPr>
          <w:b/>
          <w:u w:val="single"/>
        </w:rPr>
      </w:pPr>
      <w:r w:rsidRPr="00500CAB">
        <w:rPr>
          <w:b/>
          <w:u w:val="single"/>
        </w:rPr>
        <w:t>Week 12—4/</w:t>
      </w:r>
      <w:r w:rsidR="002E70BD">
        <w:rPr>
          <w:b/>
          <w:u w:val="single"/>
        </w:rPr>
        <w:t>14</w:t>
      </w:r>
      <w:r w:rsidRPr="00500CAB">
        <w:rPr>
          <w:b/>
          <w:u w:val="single"/>
        </w:rPr>
        <w:t>-4/</w:t>
      </w:r>
      <w:r w:rsidR="002E70BD">
        <w:rPr>
          <w:b/>
          <w:u w:val="single"/>
        </w:rPr>
        <w:t>18</w:t>
      </w:r>
    </w:p>
    <w:p w:rsidR="00542956" w:rsidRPr="00942BAD" w:rsidRDefault="00542956" w:rsidP="00542956">
      <w:pPr>
        <w:rPr>
          <w:b/>
          <w:sz w:val="22"/>
        </w:rPr>
      </w:pPr>
    </w:p>
    <w:p w:rsidR="00542956" w:rsidRPr="00942BAD" w:rsidRDefault="00542956" w:rsidP="00542956">
      <w:pPr>
        <w:rPr>
          <w:b/>
          <w:sz w:val="22"/>
        </w:rPr>
      </w:pPr>
      <w:r w:rsidRPr="00942BAD">
        <w:rPr>
          <w:b/>
          <w:sz w:val="22"/>
        </w:rPr>
        <w:t>Los Angeles: City of the Global Millennium?</w:t>
      </w:r>
    </w:p>
    <w:p w:rsidR="00542956" w:rsidRPr="00942BAD" w:rsidRDefault="00542956" w:rsidP="00542956">
      <w:pPr>
        <w:rPr>
          <w:b/>
          <w:sz w:val="22"/>
        </w:rPr>
      </w:pPr>
    </w:p>
    <w:p w:rsidR="00542956" w:rsidRDefault="00542956" w:rsidP="00542956">
      <w:pPr>
        <w:rPr>
          <w:sz w:val="22"/>
        </w:rPr>
      </w:pPr>
      <w:r w:rsidRPr="00F028A2">
        <w:rPr>
          <w:sz w:val="22"/>
        </w:rPr>
        <w:t xml:space="preserve">Reading: </w:t>
      </w:r>
      <w:r>
        <w:rPr>
          <w:sz w:val="22"/>
        </w:rPr>
        <w:t xml:space="preserve">  Edward Soja and Allen J. Scott, “Introduction to Los Angeles, City and Region” (X)</w:t>
      </w:r>
    </w:p>
    <w:p w:rsidR="00542956" w:rsidRDefault="00542956" w:rsidP="00542956">
      <w:pPr>
        <w:rPr>
          <w:sz w:val="22"/>
        </w:rPr>
      </w:pPr>
    </w:p>
    <w:p w:rsidR="00542956" w:rsidRDefault="00542956" w:rsidP="00542956">
      <w:pPr>
        <w:rPr>
          <w:sz w:val="22"/>
        </w:rPr>
      </w:pPr>
      <w:r>
        <w:rPr>
          <w:sz w:val="22"/>
        </w:rPr>
        <w:t>Edward W. Soja, “Los Angeles, 1965-1992” (X)</w:t>
      </w:r>
    </w:p>
    <w:p w:rsidR="00542956" w:rsidRDefault="00542956" w:rsidP="00542956">
      <w:pPr>
        <w:rPr>
          <w:sz w:val="22"/>
        </w:rPr>
      </w:pPr>
    </w:p>
    <w:p w:rsidR="00542956" w:rsidRDefault="00542956" w:rsidP="00542956">
      <w:pPr>
        <w:rPr>
          <w:sz w:val="22"/>
        </w:rPr>
      </w:pPr>
      <w:r>
        <w:rPr>
          <w:sz w:val="22"/>
        </w:rPr>
        <w:t>Mike Davis, “Fortress L.A.” (X)</w:t>
      </w:r>
    </w:p>
    <w:p w:rsidR="00542956" w:rsidRDefault="00542956" w:rsidP="00542956">
      <w:pPr>
        <w:rPr>
          <w:sz w:val="22"/>
        </w:rPr>
      </w:pPr>
    </w:p>
    <w:p w:rsidR="00542956" w:rsidRPr="00F028A2" w:rsidRDefault="00542956" w:rsidP="00542956">
      <w:pPr>
        <w:rPr>
          <w:sz w:val="22"/>
        </w:rPr>
      </w:pPr>
      <w:r w:rsidRPr="00F028A2">
        <w:rPr>
          <w:sz w:val="22"/>
        </w:rPr>
        <w:t>Watch:</w:t>
      </w:r>
      <w:r w:rsidRPr="00F028A2">
        <w:rPr>
          <w:sz w:val="22"/>
        </w:rPr>
        <w:tab/>
      </w:r>
      <w:r w:rsidRPr="00F028A2">
        <w:rPr>
          <w:i/>
          <w:sz w:val="22"/>
        </w:rPr>
        <w:t>Killer of Sheep</w:t>
      </w:r>
      <w:r w:rsidRPr="00F028A2">
        <w:rPr>
          <w:sz w:val="22"/>
        </w:rPr>
        <w:t>, dir. Charles Burnett (83 min.) and</w:t>
      </w:r>
      <w:r>
        <w:rPr>
          <w:sz w:val="22"/>
        </w:rPr>
        <w:t>/or</w:t>
      </w:r>
      <w:r w:rsidRPr="00F028A2">
        <w:rPr>
          <w:sz w:val="22"/>
        </w:rPr>
        <w:t xml:space="preserve"> </w:t>
      </w:r>
      <w:r w:rsidRPr="00F028A2">
        <w:rPr>
          <w:i/>
          <w:sz w:val="22"/>
        </w:rPr>
        <w:t>Falling Down</w:t>
      </w:r>
      <w:r w:rsidRPr="00F028A2">
        <w:rPr>
          <w:sz w:val="22"/>
        </w:rPr>
        <w:t>, dir. Joel Schumacher (113 min.)</w:t>
      </w:r>
    </w:p>
    <w:p w:rsidR="00542956" w:rsidRPr="00F028A2" w:rsidRDefault="00542956" w:rsidP="00542956">
      <w:pPr>
        <w:rPr>
          <w:sz w:val="22"/>
        </w:rPr>
      </w:pPr>
    </w:p>
    <w:p w:rsidR="00542956" w:rsidRPr="00F028A2" w:rsidRDefault="00542956" w:rsidP="00542956">
      <w:pPr>
        <w:rPr>
          <w:sz w:val="22"/>
        </w:rPr>
      </w:pPr>
    </w:p>
    <w:p w:rsidR="00542956" w:rsidRPr="00500CAB" w:rsidRDefault="002E70BD" w:rsidP="00542956">
      <w:pPr>
        <w:rPr>
          <w:b/>
          <w:u w:val="single"/>
        </w:rPr>
      </w:pPr>
      <w:r>
        <w:rPr>
          <w:b/>
          <w:u w:val="single"/>
        </w:rPr>
        <w:t>Week 13—4/21-4/25</w:t>
      </w:r>
    </w:p>
    <w:p w:rsidR="00542956" w:rsidRPr="00942BAD" w:rsidRDefault="00542956" w:rsidP="00542956">
      <w:pPr>
        <w:rPr>
          <w:b/>
          <w:sz w:val="22"/>
        </w:rPr>
      </w:pPr>
    </w:p>
    <w:p w:rsidR="00542956" w:rsidRDefault="00542956" w:rsidP="00542956">
      <w:r w:rsidRPr="00F028A2">
        <w:rPr>
          <w:b/>
          <w:sz w:val="22"/>
        </w:rPr>
        <w:t>SprawlWorld</w:t>
      </w:r>
    </w:p>
    <w:p w:rsidR="00542956" w:rsidRPr="00942BAD" w:rsidRDefault="00542956" w:rsidP="00542956">
      <w:pPr>
        <w:rPr>
          <w:b/>
          <w:sz w:val="22"/>
        </w:rPr>
      </w:pPr>
    </w:p>
    <w:p w:rsidR="00542956" w:rsidRPr="00CA1D24" w:rsidRDefault="00542956" w:rsidP="00542956">
      <w:pPr>
        <w:pStyle w:val="Heading2"/>
        <w:rPr>
          <w:b w:val="0"/>
          <w:sz w:val="22"/>
        </w:rPr>
      </w:pPr>
      <w:r w:rsidRPr="00F028A2">
        <w:rPr>
          <w:b w:val="0"/>
          <w:sz w:val="22"/>
        </w:rPr>
        <w:t>Reading: Nicolaides and Wiese, 439-498</w:t>
      </w:r>
    </w:p>
    <w:p w:rsidR="00542956" w:rsidRDefault="00542956" w:rsidP="00542956">
      <w:pPr>
        <w:rPr>
          <w:sz w:val="22"/>
        </w:rPr>
      </w:pPr>
    </w:p>
    <w:p w:rsidR="00542956" w:rsidRPr="00F028A2" w:rsidRDefault="00542956" w:rsidP="00542956">
      <w:pPr>
        <w:rPr>
          <w:sz w:val="22"/>
        </w:rPr>
      </w:pPr>
      <w:r>
        <w:rPr>
          <w:sz w:val="22"/>
        </w:rPr>
        <w:t xml:space="preserve">Watch: </w:t>
      </w:r>
      <w:r w:rsidRPr="00F028A2">
        <w:rPr>
          <w:i/>
          <w:sz w:val="22"/>
        </w:rPr>
        <w:t>Safe</w:t>
      </w:r>
      <w:r w:rsidRPr="00F028A2">
        <w:rPr>
          <w:sz w:val="22"/>
        </w:rPr>
        <w:t>, dir. Todd Haynes (119 min.)</w:t>
      </w:r>
    </w:p>
    <w:p w:rsidR="00542956" w:rsidRDefault="00542956" w:rsidP="00542956">
      <w:pPr>
        <w:ind w:firstLine="720"/>
        <w:rPr>
          <w:sz w:val="22"/>
        </w:rPr>
      </w:pPr>
    </w:p>
    <w:p w:rsidR="00542956" w:rsidRPr="00942BAD" w:rsidRDefault="00542956" w:rsidP="00542956">
      <w:pPr>
        <w:ind w:firstLine="720"/>
        <w:rPr>
          <w:b/>
          <w:sz w:val="22"/>
        </w:rPr>
      </w:pPr>
      <w:r>
        <w:rPr>
          <w:sz w:val="22"/>
        </w:rPr>
        <w:t>Recommended: Teaford, “After The Revolution,” 239-262</w:t>
      </w:r>
    </w:p>
    <w:p w:rsidR="00542956" w:rsidRDefault="00542956" w:rsidP="00542956">
      <w:pPr>
        <w:pStyle w:val="Heading2"/>
        <w:rPr>
          <w:sz w:val="22"/>
        </w:rPr>
      </w:pPr>
    </w:p>
    <w:p w:rsidR="00542956" w:rsidRDefault="00542956" w:rsidP="00542956">
      <w:pPr>
        <w:pStyle w:val="Heading2"/>
        <w:rPr>
          <w:sz w:val="22"/>
        </w:rPr>
      </w:pPr>
    </w:p>
    <w:p w:rsidR="00542956" w:rsidRDefault="00542956" w:rsidP="00542956">
      <w:pPr>
        <w:pStyle w:val="Heading2"/>
      </w:pPr>
      <w:r>
        <w:t>Final Exam</w:t>
      </w:r>
      <w:r w:rsidR="00266E47">
        <w:t>: Wednesday May 14</w:t>
      </w:r>
      <w:r w:rsidR="00266E47" w:rsidRPr="00266E47">
        <w:rPr>
          <w:vertAlign w:val="superscript"/>
        </w:rPr>
        <w:t>th</w:t>
      </w:r>
      <w:r w:rsidR="00266E47">
        <w:t>, 2:00PM</w:t>
      </w:r>
    </w:p>
    <w:p w:rsidR="00542956" w:rsidRDefault="00542956" w:rsidP="00542956">
      <w:pPr>
        <w:rPr>
          <w:b/>
          <w:sz w:val="22"/>
        </w:rPr>
      </w:pPr>
    </w:p>
    <w:p w:rsidR="00542956" w:rsidRDefault="00542956" w:rsidP="00542956">
      <w:pPr>
        <w:rPr>
          <w:b/>
          <w:sz w:val="22"/>
        </w:rPr>
      </w:pPr>
    </w:p>
    <w:p w:rsidR="00542956" w:rsidRDefault="00542956" w:rsidP="00542956">
      <w:pPr>
        <w:rPr>
          <w:b/>
          <w:sz w:val="22"/>
        </w:rPr>
      </w:pPr>
      <w:r>
        <w:rPr>
          <w:b/>
          <w:sz w:val="22"/>
        </w:rPr>
        <w:t>Course Policies:</w:t>
      </w:r>
    </w:p>
    <w:p w:rsidR="00542956" w:rsidRDefault="00542956" w:rsidP="00542956">
      <w:pPr>
        <w:rPr>
          <w:b/>
          <w:sz w:val="22"/>
        </w:rPr>
      </w:pPr>
    </w:p>
    <w:p w:rsidR="00542956" w:rsidRPr="00F904B5" w:rsidRDefault="00542956" w:rsidP="00542956">
      <w:pPr>
        <w:tabs>
          <w:tab w:val="left" w:pos="5580"/>
        </w:tabs>
        <w:rPr>
          <w:sz w:val="20"/>
        </w:rPr>
      </w:pPr>
      <w:r w:rsidRPr="00F904B5">
        <w:rPr>
          <w:i/>
          <w:sz w:val="20"/>
        </w:rPr>
        <w:t>Attendance</w:t>
      </w:r>
      <w:r w:rsidRPr="00F904B5">
        <w:rPr>
          <w:sz w:val="20"/>
        </w:rPr>
        <w:t>: Prompt and regular attendance is mandatory. Students who miss classes run the risk of receiving a failing grade or receiving a lower grade than th</w:t>
      </w:r>
      <w:r>
        <w:rPr>
          <w:sz w:val="20"/>
        </w:rPr>
        <w:t>ose who attend all classes</w:t>
      </w:r>
      <w:r w:rsidRPr="00F904B5">
        <w:rPr>
          <w:sz w:val="20"/>
        </w:rPr>
        <w:t>. Excused absences must be documented by a doctor's note, a note from the Dean, or advance notice from the Athletic Director. Absences for religious observances are excused; please let me</w:t>
      </w:r>
      <w:r w:rsidR="00266E47">
        <w:rPr>
          <w:sz w:val="20"/>
        </w:rPr>
        <w:t xml:space="preserve"> or your TA</w:t>
      </w:r>
      <w:r w:rsidRPr="00F904B5">
        <w:rPr>
          <w:sz w:val="20"/>
        </w:rPr>
        <w:t xml:space="preserve"> know of dates in advance. Unexcused absences will result in the subtraction of points from your participation grade.  </w:t>
      </w:r>
    </w:p>
    <w:p w:rsidR="00542956" w:rsidRPr="00F904B5" w:rsidRDefault="00542956" w:rsidP="00542956">
      <w:pPr>
        <w:rPr>
          <w:sz w:val="20"/>
        </w:rPr>
      </w:pPr>
    </w:p>
    <w:p w:rsidR="00542956" w:rsidRPr="00A6131F" w:rsidRDefault="00542956" w:rsidP="00542956">
      <w:pPr>
        <w:rPr>
          <w:sz w:val="20"/>
        </w:rPr>
      </w:pPr>
      <w:r w:rsidRPr="00F904B5">
        <w:rPr>
          <w:i/>
          <w:sz w:val="20"/>
        </w:rPr>
        <w:t>Classroom Environment</w:t>
      </w:r>
      <w:r w:rsidRPr="00F904B5">
        <w:rPr>
          <w:sz w:val="20"/>
        </w:rPr>
        <w:t xml:space="preserve">:  Feel free to ask questions and express opinions in this course, and to approach readings and ideas actively and critically. As you do so, however, please strive to be courteous to your fellow students. In order to create a respectful and productive environment please avoid unnecessary distractions during class meetings.  </w:t>
      </w:r>
      <w:r w:rsidRPr="00FD47FC">
        <w:rPr>
          <w:b/>
          <w:sz w:val="20"/>
        </w:rPr>
        <w:t>Please turn off your cell phones or other electronic devices before coming to class.</w:t>
      </w:r>
      <w:r>
        <w:rPr>
          <w:b/>
          <w:sz w:val="20"/>
        </w:rPr>
        <w:t xml:space="preserve">  FINALLY, AND MOST IMPORTANTLY, BEGINNING IN WEEK 2, COMPUTERS WILL NOT BE ALLOWED IN CLASS.  </w:t>
      </w:r>
      <w:r>
        <w:rPr>
          <w:sz w:val="20"/>
        </w:rPr>
        <w:t>Please come prepared to take notes on paper.</w:t>
      </w:r>
    </w:p>
    <w:p w:rsidR="00542956" w:rsidRPr="00F904B5" w:rsidRDefault="00542956" w:rsidP="00542956">
      <w:pPr>
        <w:rPr>
          <w:sz w:val="20"/>
        </w:rPr>
      </w:pPr>
    </w:p>
    <w:p w:rsidR="00542956" w:rsidRPr="00F904B5" w:rsidRDefault="00542956" w:rsidP="00542956">
      <w:pPr>
        <w:rPr>
          <w:sz w:val="20"/>
        </w:rPr>
      </w:pPr>
      <w:r w:rsidRPr="00F904B5">
        <w:rPr>
          <w:i/>
          <w:color w:val="000000"/>
          <w:sz w:val="20"/>
        </w:rPr>
        <w:t xml:space="preserve">Discussion Sections: </w:t>
      </w:r>
      <w:r w:rsidRPr="00F904B5">
        <w:rPr>
          <w:color w:val="000000"/>
          <w:sz w:val="20"/>
        </w:rPr>
        <w:t xml:space="preserve">You are expected to have completed the day's readings </w:t>
      </w:r>
      <w:r w:rsidRPr="00F904B5">
        <w:rPr>
          <w:b/>
          <w:color w:val="000000"/>
          <w:sz w:val="20"/>
          <w:u w:val="single"/>
        </w:rPr>
        <w:t>prior to coming to class</w:t>
      </w:r>
      <w:r w:rsidRPr="00F904B5">
        <w:rPr>
          <w:color w:val="000000"/>
          <w:sz w:val="20"/>
        </w:rPr>
        <w:t xml:space="preserve"> and to be prepared to participate in discussions. </w:t>
      </w:r>
      <w:r w:rsidRPr="00F904B5">
        <w:rPr>
          <w:b/>
          <w:i/>
          <w:color w:val="000000"/>
          <w:sz w:val="20"/>
        </w:rPr>
        <w:t>Always bring the texts we will be discussing to class.</w:t>
      </w:r>
      <w:r w:rsidRPr="00F904B5">
        <w:rPr>
          <w:b/>
          <w:color w:val="000000"/>
          <w:sz w:val="20"/>
        </w:rPr>
        <w:t xml:space="preserve">  </w:t>
      </w:r>
      <w:r w:rsidRPr="00F904B5">
        <w:rPr>
          <w:color w:val="000000"/>
          <w:sz w:val="20"/>
        </w:rPr>
        <w:t xml:space="preserve"> </w:t>
      </w:r>
    </w:p>
    <w:p w:rsidR="00542956" w:rsidRPr="00F904B5" w:rsidRDefault="00542956" w:rsidP="00542956">
      <w:pPr>
        <w:rPr>
          <w:sz w:val="20"/>
        </w:rPr>
      </w:pPr>
    </w:p>
    <w:p w:rsidR="00542956" w:rsidRPr="00F904B5" w:rsidRDefault="00542956" w:rsidP="00542956">
      <w:pPr>
        <w:rPr>
          <w:sz w:val="20"/>
        </w:rPr>
      </w:pPr>
      <w:r w:rsidRPr="00F904B5">
        <w:rPr>
          <w:i/>
          <w:sz w:val="20"/>
        </w:rPr>
        <w:t>Papers:</w:t>
      </w:r>
      <w:r w:rsidRPr="00F904B5">
        <w:rPr>
          <w:sz w:val="20"/>
        </w:rPr>
        <w:t xml:space="preserve"> All work written outside the classroom must be typed or word-processed in a standard 10 or 12 point font, double-spaced, with one-inch margins. All quotations must be cited with parenthetical references, footnotes, or endnotes. All papers should have your name, the course title and number, the due date, and an appropriate title or label for the assignment at the top. </w:t>
      </w:r>
      <w:r w:rsidRPr="00FD47FC">
        <w:rPr>
          <w:b/>
          <w:sz w:val="20"/>
        </w:rPr>
        <w:t>ALL PAPERS SHOULD BE PAGE NUMBERED.</w:t>
      </w:r>
      <w:r w:rsidRPr="00F904B5">
        <w:rPr>
          <w:sz w:val="20"/>
        </w:rPr>
        <w:t xml:space="preserve">  I strongly recommend that you keep copies of all your work, either on paper or </w:t>
      </w:r>
      <w:r w:rsidR="00266E47">
        <w:rPr>
          <w:sz w:val="20"/>
        </w:rPr>
        <w:t>digitally</w:t>
      </w:r>
      <w:r w:rsidRPr="00F904B5">
        <w:rPr>
          <w:sz w:val="20"/>
        </w:rPr>
        <w:t xml:space="preserve">, for your protection. </w:t>
      </w:r>
    </w:p>
    <w:p w:rsidR="00542956" w:rsidRPr="00F904B5" w:rsidRDefault="00542956" w:rsidP="00542956">
      <w:pPr>
        <w:rPr>
          <w:sz w:val="20"/>
        </w:rPr>
      </w:pPr>
    </w:p>
    <w:p w:rsidR="00542956" w:rsidRPr="00F904B5" w:rsidRDefault="00542956" w:rsidP="00542956">
      <w:pPr>
        <w:pStyle w:val="BodyText"/>
        <w:rPr>
          <w:sz w:val="20"/>
        </w:rPr>
      </w:pPr>
      <w:r w:rsidRPr="00F904B5">
        <w:rPr>
          <w:sz w:val="20"/>
        </w:rPr>
        <w:t xml:space="preserve">Your work will be evaluated for earnest effort and thoughtful, coherent content. Remember to clearly state your thesis and support your arguments with examples. I also expect that you will proofread your work before handing it in. Unclear writing and excessive grammatical errors will reduce your grade. Electronic submission of </w:t>
      </w:r>
      <w:r>
        <w:rPr>
          <w:sz w:val="20"/>
        </w:rPr>
        <w:t>papers</w:t>
      </w:r>
      <w:r w:rsidRPr="00F904B5">
        <w:rPr>
          <w:sz w:val="20"/>
        </w:rPr>
        <w:t xml:space="preserve"> is not allowed</w:t>
      </w:r>
      <w:r>
        <w:rPr>
          <w:sz w:val="20"/>
        </w:rPr>
        <w:t xml:space="preserve"> unless otherwise noted</w:t>
      </w:r>
      <w:r w:rsidRPr="00F904B5">
        <w:rPr>
          <w:sz w:val="20"/>
        </w:rPr>
        <w:t>. If you know you are going to miss an assignment due date you must be proactive and request an extension in advance. Late assignments will lose points for each calendar day late and will not be accepted more than one week past their due dat</w:t>
      </w:r>
      <w:r>
        <w:rPr>
          <w:sz w:val="20"/>
        </w:rPr>
        <w:t>e without a previously agreed upon</w:t>
      </w:r>
      <w:r w:rsidRPr="00F904B5">
        <w:rPr>
          <w:sz w:val="20"/>
        </w:rPr>
        <w:t xml:space="preserve"> extension.</w:t>
      </w:r>
    </w:p>
    <w:p w:rsidR="00542956" w:rsidRPr="00F904B5" w:rsidRDefault="00542956" w:rsidP="00542956">
      <w:pPr>
        <w:rPr>
          <w:sz w:val="20"/>
        </w:rPr>
      </w:pPr>
    </w:p>
    <w:p w:rsidR="00542956" w:rsidRDefault="00542956" w:rsidP="00542956">
      <w:pPr>
        <w:rPr>
          <w:sz w:val="22"/>
        </w:rPr>
      </w:pPr>
      <w:r w:rsidRPr="00F904B5">
        <w:rPr>
          <w:i/>
          <w:sz w:val="20"/>
        </w:rPr>
        <w:t>Plagiarism &amp; Academic Integrity</w:t>
      </w:r>
      <w:r w:rsidRPr="00F904B5">
        <w:rPr>
          <w:sz w:val="20"/>
        </w:rPr>
        <w:t xml:space="preserve">:  Students in this class will be held to a high standard of academic integrity, which is defined as "the pursuit of scholarly activity free from fraud and deception."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r w:rsidRPr="00F904B5">
        <w:rPr>
          <w:color w:val="000000"/>
          <w:sz w:val="20"/>
        </w:rPr>
        <w:t>If I suspect all or part of an assignment may not be your own intellectual work I may ask to see your notes or drafts. I also may require electronic submission of the paper to facilitate running the paper through plagiarism-detecting databases</w:t>
      </w:r>
      <w:r w:rsidRPr="00F904B5">
        <w:rPr>
          <w:sz w:val="20"/>
        </w:rPr>
        <w:t>. Plagiarism can result in a failing grade for the assig</w:t>
      </w:r>
      <w:r w:rsidR="00D87689">
        <w:rPr>
          <w:sz w:val="20"/>
        </w:rPr>
        <w:t>nment and/or the entire course or even more serious disciplinary action by the Dean of the College.</w:t>
      </w:r>
      <w:r w:rsidRPr="00F904B5">
        <w:rPr>
          <w:sz w:val="20"/>
        </w:rPr>
        <w:t xml:space="preserve"> If you have any que</w:t>
      </w:r>
      <w:r w:rsidR="00D87689">
        <w:rPr>
          <w:sz w:val="20"/>
        </w:rPr>
        <w:t>stions about academic integrity,</w:t>
      </w:r>
      <w:r w:rsidRPr="00F904B5">
        <w:rPr>
          <w:sz w:val="20"/>
        </w:rPr>
        <w:t xml:space="preserve"> please talk with me</w:t>
      </w:r>
      <w:r w:rsidR="00D87689">
        <w:rPr>
          <w:sz w:val="20"/>
        </w:rPr>
        <w:t>, I am happy to talk it over before there is a problem</w:t>
      </w:r>
      <w:r w:rsidRPr="00F904B5">
        <w:rPr>
          <w:sz w:val="20"/>
        </w:rPr>
        <w:t>.</w:t>
      </w:r>
      <w:r>
        <w:rPr>
          <w:sz w:val="22"/>
        </w:rPr>
        <w:t xml:space="preserve"> </w:t>
      </w:r>
    </w:p>
    <w:p w:rsidR="00542956" w:rsidRDefault="00542956" w:rsidP="00542956"/>
    <w:p w:rsidR="00542956" w:rsidRDefault="00542956" w:rsidP="00542956"/>
    <w:p w:rsidR="00542956" w:rsidRDefault="00542956" w:rsidP="00542956">
      <w:r>
        <w:br/>
      </w:r>
    </w:p>
    <w:p w:rsidR="00542956" w:rsidRDefault="00542956" w:rsidP="00542956"/>
    <w:p w:rsidR="00542956" w:rsidRDefault="00542956" w:rsidP="00542956"/>
    <w:p w:rsidR="00542956" w:rsidRDefault="00542956" w:rsidP="00542956"/>
    <w:p w:rsidR="00542956" w:rsidRDefault="00542956" w:rsidP="00542956"/>
    <w:p w:rsidR="00542956" w:rsidRDefault="00542956" w:rsidP="00542956"/>
    <w:p w:rsidR="00542956" w:rsidRDefault="00542956" w:rsidP="00542956"/>
    <w:p w:rsidR="00542956" w:rsidRDefault="00542956" w:rsidP="00542956"/>
    <w:p w:rsidR="00542956" w:rsidRDefault="00542956" w:rsidP="00542956"/>
    <w:p w:rsidR="002E70BD" w:rsidRDefault="002E70BD"/>
    <w:sectPr w:rsidR="002E70BD" w:rsidSect="002E70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D6B17"/>
    <w:multiLevelType w:val="hybridMultilevel"/>
    <w:tmpl w:val="DA663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2956"/>
    <w:rsid w:val="001765BC"/>
    <w:rsid w:val="00266E47"/>
    <w:rsid w:val="002E70BD"/>
    <w:rsid w:val="00421BCD"/>
    <w:rsid w:val="00542956"/>
    <w:rsid w:val="007E763C"/>
    <w:rsid w:val="00B55F96"/>
    <w:rsid w:val="00D8768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56"/>
    <w:rPr>
      <w:rFonts w:ascii="Times" w:eastAsia="Times" w:hAnsi="Times" w:cs="Times New Roman"/>
      <w:sz w:val="24"/>
    </w:rPr>
  </w:style>
  <w:style w:type="paragraph" w:styleId="Heading1">
    <w:name w:val="heading 1"/>
    <w:basedOn w:val="Normal"/>
    <w:next w:val="Normal"/>
    <w:link w:val="Heading1Char"/>
    <w:qFormat/>
    <w:rsid w:val="00542956"/>
    <w:pPr>
      <w:keepNext/>
      <w:outlineLvl w:val="0"/>
    </w:pPr>
    <w:rPr>
      <w:u w:val="single"/>
    </w:rPr>
  </w:style>
  <w:style w:type="paragraph" w:styleId="Heading2">
    <w:name w:val="heading 2"/>
    <w:basedOn w:val="Normal"/>
    <w:next w:val="Normal"/>
    <w:link w:val="Heading2Char"/>
    <w:qFormat/>
    <w:rsid w:val="00542956"/>
    <w:pPr>
      <w:keepNext/>
      <w:outlineLvl w:val="1"/>
    </w:pPr>
    <w:rPr>
      <w:b/>
    </w:rPr>
  </w:style>
  <w:style w:type="paragraph" w:styleId="Heading3">
    <w:name w:val="heading 3"/>
    <w:basedOn w:val="Normal"/>
    <w:next w:val="Normal"/>
    <w:link w:val="Heading3Char"/>
    <w:qFormat/>
    <w:rsid w:val="00542956"/>
    <w:pPr>
      <w:keepNext/>
      <w:ind w:left="720" w:hanging="720"/>
      <w:outlineLvl w:val="2"/>
    </w:pPr>
    <w:rPr>
      <w:b/>
    </w:rPr>
  </w:style>
  <w:style w:type="paragraph" w:styleId="Heading4">
    <w:name w:val="heading 4"/>
    <w:basedOn w:val="Normal"/>
    <w:next w:val="Normal"/>
    <w:link w:val="Heading4Char"/>
    <w:qFormat/>
    <w:rsid w:val="00542956"/>
    <w:pPr>
      <w:keepNext/>
      <w:ind w:left="720" w:hanging="720"/>
      <w:outlineLvl w:val="3"/>
    </w:pPr>
    <w:rPr>
      <w:b/>
      <w:sz w:val="22"/>
    </w:rPr>
  </w:style>
  <w:style w:type="paragraph" w:styleId="Heading5">
    <w:name w:val="heading 5"/>
    <w:basedOn w:val="Normal"/>
    <w:next w:val="Normal"/>
    <w:link w:val="Heading5Char"/>
    <w:qFormat/>
    <w:rsid w:val="00542956"/>
    <w:pPr>
      <w:keepNext/>
      <w:outlineLvl w:val="4"/>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42956"/>
    <w:rPr>
      <w:rFonts w:ascii="Times" w:eastAsia="Times" w:hAnsi="Times" w:cs="Times New Roman"/>
      <w:sz w:val="24"/>
      <w:u w:val="single"/>
    </w:rPr>
  </w:style>
  <w:style w:type="character" w:customStyle="1" w:styleId="Heading2Char">
    <w:name w:val="Heading 2 Char"/>
    <w:basedOn w:val="DefaultParagraphFont"/>
    <w:link w:val="Heading2"/>
    <w:rsid w:val="00542956"/>
    <w:rPr>
      <w:rFonts w:ascii="Times" w:eastAsia="Times" w:hAnsi="Times" w:cs="Times New Roman"/>
      <w:b/>
      <w:sz w:val="24"/>
    </w:rPr>
  </w:style>
  <w:style w:type="character" w:customStyle="1" w:styleId="Heading3Char">
    <w:name w:val="Heading 3 Char"/>
    <w:basedOn w:val="DefaultParagraphFont"/>
    <w:link w:val="Heading3"/>
    <w:rsid w:val="00542956"/>
    <w:rPr>
      <w:rFonts w:ascii="Times" w:eastAsia="Times" w:hAnsi="Times" w:cs="Times New Roman"/>
      <w:b/>
      <w:sz w:val="24"/>
    </w:rPr>
  </w:style>
  <w:style w:type="character" w:customStyle="1" w:styleId="Heading4Char">
    <w:name w:val="Heading 4 Char"/>
    <w:basedOn w:val="DefaultParagraphFont"/>
    <w:link w:val="Heading4"/>
    <w:rsid w:val="00542956"/>
    <w:rPr>
      <w:rFonts w:ascii="Times" w:eastAsia="Times" w:hAnsi="Times" w:cs="Times New Roman"/>
      <w:b/>
      <w:sz w:val="22"/>
    </w:rPr>
  </w:style>
  <w:style w:type="character" w:customStyle="1" w:styleId="Heading5Char">
    <w:name w:val="Heading 5 Char"/>
    <w:basedOn w:val="DefaultParagraphFont"/>
    <w:link w:val="Heading5"/>
    <w:rsid w:val="00542956"/>
    <w:rPr>
      <w:rFonts w:ascii="Times" w:eastAsia="Times" w:hAnsi="Times" w:cs="Times New Roman"/>
      <w:b/>
      <w:sz w:val="22"/>
    </w:rPr>
  </w:style>
  <w:style w:type="paragraph" w:styleId="BodyText">
    <w:name w:val="Body Text"/>
    <w:basedOn w:val="Normal"/>
    <w:link w:val="BodyTextChar"/>
    <w:rsid w:val="00542956"/>
    <w:rPr>
      <w:sz w:val="22"/>
    </w:rPr>
  </w:style>
  <w:style w:type="character" w:customStyle="1" w:styleId="BodyTextChar">
    <w:name w:val="Body Text Char"/>
    <w:basedOn w:val="DefaultParagraphFont"/>
    <w:link w:val="BodyText"/>
    <w:rsid w:val="00542956"/>
    <w:rPr>
      <w:rFonts w:ascii="Times" w:eastAsia="Times" w:hAnsi="Times" w:cs="Times New Roman"/>
      <w:sz w:val="22"/>
    </w:rPr>
  </w:style>
  <w:style w:type="character" w:styleId="Hyperlink">
    <w:name w:val="Hyperlink"/>
    <w:basedOn w:val="DefaultParagraphFont"/>
    <w:rsid w:val="00542956"/>
    <w:rPr>
      <w:color w:val="0000FF"/>
      <w:u w:val="single"/>
    </w:rPr>
  </w:style>
  <w:style w:type="paragraph" w:customStyle="1" w:styleId="bibliography">
    <w:name w:val="bibliography"/>
    <w:basedOn w:val="Normal"/>
    <w:rsid w:val="00542956"/>
    <w:pPr>
      <w:ind w:left="360" w:hanging="360"/>
    </w:pPr>
    <w:rPr>
      <w:rFonts w:ascii="Courier" w:eastAsia="Times New Roman" w:hAnsi="Courier"/>
    </w:rPr>
  </w:style>
  <w:style w:type="paragraph" w:styleId="BodyTextIndent">
    <w:name w:val="Body Text Indent"/>
    <w:basedOn w:val="Normal"/>
    <w:link w:val="BodyTextIndentChar"/>
    <w:rsid w:val="00542956"/>
    <w:pPr>
      <w:ind w:left="720" w:hanging="720"/>
    </w:pPr>
  </w:style>
  <w:style w:type="character" w:customStyle="1" w:styleId="BodyTextIndentChar">
    <w:name w:val="Body Text Indent Char"/>
    <w:basedOn w:val="DefaultParagraphFont"/>
    <w:link w:val="BodyTextIndent"/>
    <w:rsid w:val="00542956"/>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zipp@uci.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1500</Words>
  <Characters>8550</Characters>
  <Application>Microsoft Macintosh Word</Application>
  <DocSecurity>0</DocSecurity>
  <Lines>71</Lines>
  <Paragraphs>17</Paragraphs>
  <ScaleCrop>false</ScaleCrop>
  <Company>Brown University</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Zipp</dc:creator>
  <cp:keywords/>
  <cp:lastModifiedBy>Samuel Zipp</cp:lastModifiedBy>
  <cp:revision>6</cp:revision>
  <dcterms:created xsi:type="dcterms:W3CDTF">2014-01-20T23:43:00Z</dcterms:created>
  <dcterms:modified xsi:type="dcterms:W3CDTF">2014-01-21T00:24:00Z</dcterms:modified>
</cp:coreProperties>
</file>