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29C85" w14:textId="5EFB2F1D" w:rsidR="00CC3289" w:rsidRPr="00A04DF2" w:rsidRDefault="00997EC0" w:rsidP="004C6586">
      <w:pPr>
        <w:contextualSpacing/>
        <w:rPr>
          <w:b/>
        </w:rPr>
      </w:pPr>
      <w:r w:rsidRPr="00A04DF2">
        <w:rPr>
          <w:b/>
        </w:rPr>
        <w:t>ARCH 1635</w:t>
      </w:r>
      <w:r w:rsidR="00A04DF2" w:rsidRPr="00A04DF2">
        <w:rPr>
          <w:b/>
        </w:rPr>
        <w:t xml:space="preserve"> </w:t>
      </w:r>
      <w:proofErr w:type="gramStart"/>
      <w:r w:rsidR="00571357" w:rsidRPr="00A04DF2">
        <w:rPr>
          <w:b/>
        </w:rPr>
        <w:t>The</w:t>
      </w:r>
      <w:proofErr w:type="gramEnd"/>
      <w:r w:rsidR="00571357" w:rsidRPr="00A04DF2">
        <w:rPr>
          <w:b/>
        </w:rPr>
        <w:t xml:space="preserve"> Great Heresy: Egypt </w:t>
      </w:r>
      <w:r w:rsidRPr="00A04DF2">
        <w:rPr>
          <w:b/>
        </w:rPr>
        <w:t>in</w:t>
      </w:r>
      <w:r w:rsidR="00571357" w:rsidRPr="00A04DF2">
        <w:rPr>
          <w:b/>
        </w:rPr>
        <w:t xml:space="preserve"> the Amarna </w:t>
      </w:r>
      <w:r w:rsidR="00430B4A">
        <w:rPr>
          <w:b/>
        </w:rPr>
        <w:t>Age</w:t>
      </w:r>
    </w:p>
    <w:p w14:paraId="15AB5BE2" w14:textId="77777777" w:rsidR="00A04DF2" w:rsidRDefault="00A04DF2" w:rsidP="004C6586">
      <w:pPr>
        <w:contextualSpacing/>
        <w:rPr>
          <w:rFonts w:ascii="Times" w:hAnsi="Times"/>
        </w:rPr>
      </w:pPr>
      <w:r w:rsidRPr="00FF1BD3">
        <w:rPr>
          <w:rFonts w:ascii="Times" w:hAnsi="Times"/>
        </w:rPr>
        <w:t>Rhode Island Hall room 108</w:t>
      </w:r>
    </w:p>
    <w:p w14:paraId="4986061A" w14:textId="35A4E15F" w:rsidR="00430B4A" w:rsidRPr="00FF1BD3" w:rsidRDefault="00430B4A" w:rsidP="004C6586">
      <w:pPr>
        <w:contextualSpacing/>
        <w:rPr>
          <w:rFonts w:ascii="Times" w:hAnsi="Times"/>
        </w:rPr>
      </w:pPr>
      <w:r>
        <w:rPr>
          <w:rFonts w:ascii="Times" w:hAnsi="Times"/>
        </w:rPr>
        <w:t>Tuesdays and Thursdays, 10:30-11:50am</w:t>
      </w:r>
    </w:p>
    <w:p w14:paraId="69F09E1A" w14:textId="77777777" w:rsidR="00A04DF2" w:rsidRPr="00FF1BD3" w:rsidRDefault="00A04DF2" w:rsidP="004C6586">
      <w:pPr>
        <w:contextualSpacing/>
        <w:rPr>
          <w:rFonts w:ascii="Times" w:hAnsi="Times"/>
        </w:rPr>
      </w:pPr>
      <w:r w:rsidRPr="00FF1BD3">
        <w:rPr>
          <w:rFonts w:ascii="Times" w:hAnsi="Times"/>
        </w:rPr>
        <w:t xml:space="preserve">Instructor: Laurel </w:t>
      </w:r>
      <w:proofErr w:type="spellStart"/>
      <w:r w:rsidRPr="00FF1BD3">
        <w:rPr>
          <w:rFonts w:ascii="Times" w:hAnsi="Times"/>
        </w:rPr>
        <w:t>Bestock</w:t>
      </w:r>
      <w:proofErr w:type="spellEnd"/>
    </w:p>
    <w:p w14:paraId="4EEE43B4" w14:textId="22624A6C" w:rsidR="00A04DF2" w:rsidRPr="00FF1BD3" w:rsidRDefault="00A04DF2" w:rsidP="004C6586">
      <w:pPr>
        <w:contextualSpacing/>
        <w:rPr>
          <w:rFonts w:ascii="Times" w:hAnsi="Times"/>
        </w:rPr>
      </w:pPr>
      <w:r w:rsidRPr="00FF1BD3">
        <w:rPr>
          <w:rFonts w:ascii="Times" w:hAnsi="Times"/>
        </w:rPr>
        <w:t xml:space="preserve">Office Hours: </w:t>
      </w:r>
      <w:r w:rsidR="00430B4A">
        <w:rPr>
          <w:rFonts w:ascii="Times" w:hAnsi="Times"/>
        </w:rPr>
        <w:t>Tuesdays</w:t>
      </w:r>
      <w:r w:rsidRPr="00FF1BD3">
        <w:rPr>
          <w:rFonts w:ascii="Times" w:hAnsi="Times"/>
        </w:rPr>
        <w:t xml:space="preserve"> </w:t>
      </w:r>
      <w:r w:rsidR="00430B4A">
        <w:rPr>
          <w:rFonts w:ascii="Times" w:hAnsi="Times"/>
        </w:rPr>
        <w:t>1-3</w:t>
      </w:r>
      <w:r w:rsidRPr="00FF1BD3">
        <w:rPr>
          <w:rFonts w:ascii="Times" w:hAnsi="Times"/>
        </w:rPr>
        <w:t>pm and by appointment, Rhode Island Hall room 209</w:t>
      </w:r>
    </w:p>
    <w:p w14:paraId="2FCDDCD7" w14:textId="00D1BBD8" w:rsidR="00430B4A" w:rsidRDefault="00F91470" w:rsidP="004C6586">
      <w:pPr>
        <w:contextualSpacing/>
        <w:rPr>
          <w:rFonts w:ascii="Times" w:hAnsi="Times"/>
        </w:rPr>
      </w:pPr>
      <w:hyperlink r:id="rId5" w:history="1">
        <w:r w:rsidR="00B163B0" w:rsidRPr="001447E8">
          <w:rPr>
            <w:rStyle w:val="Hyperlink"/>
          </w:rPr>
          <w:t>Laurel_bestock@brown.edu</w:t>
        </w:r>
      </w:hyperlink>
      <w:r w:rsidR="00B163B0">
        <w:t xml:space="preserve"> </w:t>
      </w:r>
      <w:r w:rsidR="00A04DF2" w:rsidRPr="00FF1BD3">
        <w:rPr>
          <w:rFonts w:ascii="Times" w:hAnsi="Times"/>
        </w:rPr>
        <w:t>(401) 863-6291</w:t>
      </w:r>
    </w:p>
    <w:p w14:paraId="346CFF0D" w14:textId="77777777" w:rsidR="001F26BD" w:rsidRDefault="00430B4A" w:rsidP="004C6586">
      <w:pPr>
        <w:contextualSpacing/>
        <w:rPr>
          <w:rFonts w:ascii="Times" w:hAnsi="Times"/>
        </w:rPr>
      </w:pPr>
      <w:r>
        <w:rPr>
          <w:rFonts w:ascii="Times" w:hAnsi="Times"/>
        </w:rPr>
        <w:t xml:space="preserve">Teaching Assistants: </w:t>
      </w:r>
    </w:p>
    <w:p w14:paraId="4EF98E91" w14:textId="45ABC445" w:rsidR="00430B4A" w:rsidRDefault="001F26BD" w:rsidP="004C6586">
      <w:pPr>
        <w:contextualSpacing/>
        <w:rPr>
          <w:rFonts w:ascii="Times" w:hAnsi="Times"/>
        </w:rPr>
      </w:pPr>
      <w:r>
        <w:rPr>
          <w:rFonts w:ascii="Times" w:hAnsi="Times"/>
        </w:rPr>
        <w:t>Emily Booker (</w:t>
      </w:r>
      <w:hyperlink r:id="rId6" w:history="1">
        <w:r w:rsidRPr="001447E8">
          <w:rPr>
            <w:rStyle w:val="Hyperlink"/>
            <w:rFonts w:ascii="Times" w:hAnsi="Times"/>
          </w:rPr>
          <w:t>emily_booker@brown.edu</w:t>
        </w:r>
      </w:hyperlink>
      <w:r w:rsidR="00FE2F3E">
        <w:rPr>
          <w:rFonts w:ascii="Times" w:hAnsi="Times"/>
        </w:rPr>
        <w:t>), office hours Friday 11am-1pm</w:t>
      </w:r>
      <w:bookmarkStart w:id="0" w:name="_GoBack"/>
      <w:bookmarkEnd w:id="0"/>
      <w:r>
        <w:rPr>
          <w:rFonts w:ascii="Times" w:hAnsi="Times"/>
        </w:rPr>
        <w:t>, RI Hall.</w:t>
      </w:r>
    </w:p>
    <w:p w14:paraId="0470DB30" w14:textId="73CA73E7" w:rsidR="001F26BD" w:rsidRDefault="001F26BD" w:rsidP="004C6586">
      <w:pPr>
        <w:contextualSpacing/>
        <w:rPr>
          <w:rFonts w:ascii="Times" w:hAnsi="Times"/>
        </w:rPr>
      </w:pPr>
      <w:r>
        <w:rPr>
          <w:rFonts w:ascii="Times" w:hAnsi="Times"/>
        </w:rPr>
        <w:t>Emily Drennan (</w:t>
      </w:r>
      <w:hyperlink r:id="rId7" w:history="1">
        <w:r w:rsidRPr="001447E8">
          <w:rPr>
            <w:rStyle w:val="Hyperlink"/>
            <w:rFonts w:ascii="Times" w:hAnsi="Times"/>
          </w:rPr>
          <w:t>emily_drennan@brown.edu</w:t>
        </w:r>
      </w:hyperlink>
      <w:r>
        <w:rPr>
          <w:rFonts w:ascii="Times" w:hAnsi="Times"/>
        </w:rPr>
        <w:t xml:space="preserve">), office hours </w:t>
      </w:r>
      <w:r w:rsidR="00A46071">
        <w:rPr>
          <w:rFonts w:ascii="Times" w:hAnsi="Times"/>
        </w:rPr>
        <w:t>Thursday 3:45-5:45pm</w:t>
      </w:r>
      <w:r>
        <w:rPr>
          <w:rFonts w:ascii="Times" w:hAnsi="Times"/>
        </w:rPr>
        <w:t xml:space="preserve">, </w:t>
      </w:r>
      <w:proofErr w:type="spellStart"/>
      <w:r>
        <w:rPr>
          <w:rFonts w:ascii="Times" w:hAnsi="Times"/>
        </w:rPr>
        <w:t>Wilbour</w:t>
      </w:r>
      <w:proofErr w:type="spellEnd"/>
      <w:r>
        <w:rPr>
          <w:rFonts w:ascii="Times" w:hAnsi="Times"/>
        </w:rPr>
        <w:t xml:space="preserve"> Hall.</w:t>
      </w:r>
    </w:p>
    <w:p w14:paraId="4279A7CD" w14:textId="77777777" w:rsidR="00CC3289" w:rsidRDefault="00CC3289" w:rsidP="004C6586">
      <w:pPr>
        <w:contextualSpacing/>
      </w:pPr>
    </w:p>
    <w:p w14:paraId="50273059" w14:textId="77777777" w:rsidR="00CC3289" w:rsidRPr="00A04DF2" w:rsidRDefault="00CC3289" w:rsidP="004C6586">
      <w:pPr>
        <w:contextualSpacing/>
        <w:rPr>
          <w:b/>
        </w:rPr>
      </w:pPr>
      <w:r w:rsidRPr="00A04DF2">
        <w:rPr>
          <w:b/>
        </w:rPr>
        <w:t xml:space="preserve">Course </w:t>
      </w:r>
      <w:r w:rsidR="00CE6328" w:rsidRPr="00A04DF2">
        <w:rPr>
          <w:b/>
        </w:rPr>
        <w:t>Description</w:t>
      </w:r>
      <w:r w:rsidRPr="00A04DF2">
        <w:rPr>
          <w:b/>
        </w:rPr>
        <w:t>:</w:t>
      </w:r>
    </w:p>
    <w:p w14:paraId="0A76AE1C" w14:textId="74320DAC" w:rsidR="00A04DF2" w:rsidRDefault="00CC3289" w:rsidP="004C6586">
      <w:pPr>
        <w:contextualSpacing/>
      </w:pPr>
      <w:r>
        <w:t xml:space="preserve">This class provides a critical examination of Egypt during the Amarna Period, roughly 1350-1334 BC.  This era was one of great transformation, most notably the introduction by the king Akhenaten of a new religion that </w:t>
      </w:r>
      <w:r w:rsidR="00CE6328">
        <w:t>focused</w:t>
      </w:r>
      <w:r>
        <w:t xml:space="preserve"> solely on the </w:t>
      </w:r>
      <w:r w:rsidR="006020B7">
        <w:t xml:space="preserve">light from the </w:t>
      </w:r>
      <w:r>
        <w:t xml:space="preserve">disc of the sun.  In order to properly worship this god Akhenaten not only closed old temples of Egypt, he built an entirely new city to house temples, palaces, an urban center and tombs.  This city – known now as Amarna – was abandoned shortly after Akhenaten’s death.  Because of this it </w:t>
      </w:r>
      <w:r w:rsidR="006020B7">
        <w:t xml:space="preserve">is </w:t>
      </w:r>
      <w:r>
        <w:t>the most accessible and extensively documente</w:t>
      </w:r>
      <w:r w:rsidR="00581C41">
        <w:t xml:space="preserve">d </w:t>
      </w:r>
      <w:r w:rsidR="006020B7">
        <w:t xml:space="preserve">ancient </w:t>
      </w:r>
      <w:r w:rsidR="00581C41">
        <w:t xml:space="preserve">urban site in Egypt, meaning </w:t>
      </w:r>
      <w:r>
        <w:t xml:space="preserve">that its archaeological importance is greater even than the key role it plays in illuminating this particular period.  </w:t>
      </w:r>
      <w:r w:rsidR="00997EC0">
        <w:t xml:space="preserve">In addition to </w:t>
      </w:r>
      <w:r w:rsidR="00CE6328">
        <w:t>constructing</w:t>
      </w:r>
      <w:r w:rsidR="00997EC0">
        <w:t xml:space="preserve"> a new city, </w:t>
      </w:r>
      <w:r w:rsidR="00CE6328">
        <w:t>Akhenaten</w:t>
      </w:r>
      <w:r>
        <w:t xml:space="preserve"> marked his theological ideas by promoting a new and very different style of art.  </w:t>
      </w:r>
      <w:r w:rsidR="00CE6328">
        <w:t>Artistic</w:t>
      </w:r>
      <w:r>
        <w:t xml:space="preserve"> production was high during this short period and the number of sculptures, </w:t>
      </w:r>
      <w:proofErr w:type="gramStart"/>
      <w:r>
        <w:t>paintings</w:t>
      </w:r>
      <w:proofErr w:type="gramEnd"/>
      <w:r>
        <w:t xml:space="preserve"> and reliefs we have help us to understand both changes and continuities in Egyptian culture at this time.  </w:t>
      </w:r>
      <w:r w:rsidR="00581C41">
        <w:t>In addition to archaeological and artistic sources</w:t>
      </w:r>
      <w:r>
        <w:t xml:space="preserve">, we have large numbers of extant texts from the Amarna period.  These document not only the religious “revolution” of Akhenaten but also the workings of international diplomacy at a time when great powers were increasingly coming to rule the Eastern Mediterranean world.  </w:t>
      </w:r>
    </w:p>
    <w:p w14:paraId="0602319B" w14:textId="77777777" w:rsidR="00CC3289" w:rsidRDefault="00CC3289" w:rsidP="004C6586">
      <w:pPr>
        <w:contextualSpacing/>
      </w:pPr>
    </w:p>
    <w:p w14:paraId="1D35BB16" w14:textId="77777777" w:rsidR="00A04DF2" w:rsidRDefault="00CC3289" w:rsidP="004C6586">
      <w:pPr>
        <w:contextualSpacing/>
      </w:pPr>
      <w:r>
        <w:t>This course will take an integrated look at this diverse set of evidence.  We will delve into both the physical and ideological settings of the time, and will examine some of the most interesting and enigmatic characters from Egyptian history, including not only Akhenaten himself but his wife Nefertit</w:t>
      </w:r>
      <w:r w:rsidR="00581C41">
        <w:t>i</w:t>
      </w:r>
      <w:r>
        <w:t xml:space="preserve"> and his probable son, Tutankhamun.  At the end of the course we will turn to the reaction against the Amarna period, which was almost entirely forgotten from shortly after its occurrence until its rediscovery in the 19</w:t>
      </w:r>
      <w:r w:rsidRPr="00CC3289">
        <w:rPr>
          <w:vertAlign w:val="superscript"/>
        </w:rPr>
        <w:t>th</w:t>
      </w:r>
      <w:r>
        <w:t xml:space="preserve"> century.</w:t>
      </w:r>
    </w:p>
    <w:p w14:paraId="3157022D" w14:textId="77777777" w:rsidR="001B6284" w:rsidRDefault="001B6284" w:rsidP="004C6586">
      <w:pPr>
        <w:contextualSpacing/>
      </w:pPr>
    </w:p>
    <w:p w14:paraId="71FB4140" w14:textId="77777777" w:rsidR="00A04DF2" w:rsidRDefault="001B6284" w:rsidP="004C6586">
      <w:pPr>
        <w:contextualSpacing/>
      </w:pPr>
      <w:r>
        <w:t xml:space="preserve">While some background in Egyptology is useful for this course, there are no prerequisites.  The instructor is happy to provide suggestions for additional reading to students who require basic grounding in Egyptian history and culture. </w:t>
      </w:r>
    </w:p>
    <w:p w14:paraId="4F032A56" w14:textId="77777777" w:rsidR="00CC3289" w:rsidRDefault="00CC3289" w:rsidP="004C6586">
      <w:pPr>
        <w:contextualSpacing/>
      </w:pPr>
    </w:p>
    <w:p w14:paraId="477C0945" w14:textId="77777777" w:rsidR="00CC3289" w:rsidRPr="00A04DF2" w:rsidRDefault="00CC3289" w:rsidP="004C6586">
      <w:pPr>
        <w:contextualSpacing/>
        <w:rPr>
          <w:b/>
        </w:rPr>
      </w:pPr>
      <w:r w:rsidRPr="00A04DF2">
        <w:rPr>
          <w:b/>
        </w:rPr>
        <w:t>Course Objectives:</w:t>
      </w:r>
    </w:p>
    <w:p w14:paraId="7C7C88B6" w14:textId="77777777" w:rsidR="00A04DF2" w:rsidRDefault="00CC3289" w:rsidP="004C6586">
      <w:pPr>
        <w:contextualSpacing/>
      </w:pPr>
      <w:r>
        <w:t>Often considered to be the first monotheistic religion, Akhenaten’s “revolution” has led to great interest since it was rediscovered.  Much of this interest, scholarly and popular, has been biased because of the emotional and religious backgrounds</w:t>
      </w:r>
      <w:r w:rsidR="001B6284">
        <w:t xml:space="preserve"> of those who have </w:t>
      </w:r>
      <w:r w:rsidR="001B6284">
        <w:lastRenderedPageBreak/>
        <w:t>studied Amarna.  Because this secondary literature is so varied and problematic, and because the primary sour</w:t>
      </w:r>
      <w:r w:rsidR="00203B62">
        <w:t>ce material is so extensive, studying</w:t>
      </w:r>
      <w:r w:rsidR="001B6284">
        <w:t xml:space="preserve"> Amarna </w:t>
      </w:r>
      <w:r w:rsidR="00203B62">
        <w:t>offers</w:t>
      </w:r>
      <w:r w:rsidR="001B6284">
        <w:t xml:space="preserve"> the student </w:t>
      </w:r>
      <w:r w:rsidR="00203B62">
        <w:t xml:space="preserve">the perfect opportunity </w:t>
      </w:r>
      <w:r w:rsidR="001B6284">
        <w:t xml:space="preserve">to hone critical thinking skills.  As such, students in this class will not only come to understand one of the most interesting periods of Egyptian history and culture, they will develop their ability to evaluate evidence and secondary literature.  Mastery of the material will be demonstrated in two exams; </w:t>
      </w:r>
      <w:r w:rsidR="00CE6328">
        <w:t>development</w:t>
      </w:r>
      <w:r w:rsidR="001B6284">
        <w:t xml:space="preserve"> of critical thinking </w:t>
      </w:r>
      <w:r w:rsidR="00203B62">
        <w:t xml:space="preserve">and evaluation of evidence </w:t>
      </w:r>
      <w:r w:rsidR="001B6284">
        <w:t>will be demonstrated in a research paper on a topic of choice.</w:t>
      </w:r>
    </w:p>
    <w:p w14:paraId="5095967E" w14:textId="77777777" w:rsidR="001B6284" w:rsidRDefault="001B6284" w:rsidP="004C6586">
      <w:pPr>
        <w:contextualSpacing/>
      </w:pPr>
    </w:p>
    <w:p w14:paraId="15BB3AAA" w14:textId="77777777" w:rsidR="001B6284" w:rsidRPr="00A04DF2" w:rsidRDefault="001B6284" w:rsidP="004C6586">
      <w:pPr>
        <w:contextualSpacing/>
        <w:rPr>
          <w:b/>
        </w:rPr>
      </w:pPr>
      <w:r w:rsidRPr="00A04DF2">
        <w:rPr>
          <w:b/>
        </w:rPr>
        <w:t>Course format:</w:t>
      </w:r>
    </w:p>
    <w:p w14:paraId="4AC64BE5" w14:textId="022F7FCC" w:rsidR="00A04DF2" w:rsidRDefault="001B6284" w:rsidP="004C6586">
      <w:pPr>
        <w:contextualSpacing/>
      </w:pPr>
      <w:r>
        <w:t>This class will be primarily lecture-based, with some classes devoted to discussion of assigned readings.</w:t>
      </w:r>
      <w:r w:rsidR="00350AFA">
        <w:t xml:space="preserve"> </w:t>
      </w:r>
      <w:r>
        <w:t>During both lectures and designated discussion days students are always encouraged to ask questions and present their own ideas and interpretations.</w:t>
      </w:r>
      <w:r w:rsidR="00350AFA">
        <w:t xml:space="preserve">  Regular attendance and engagement in class form the course participation element of your grade.</w:t>
      </w:r>
      <w:r w:rsidR="00F37BAE">
        <w:t xml:space="preserve">  </w:t>
      </w:r>
    </w:p>
    <w:p w14:paraId="345A7C9D" w14:textId="77777777" w:rsidR="001B6284" w:rsidRDefault="001B6284" w:rsidP="004C6586">
      <w:pPr>
        <w:contextualSpacing/>
      </w:pPr>
    </w:p>
    <w:p w14:paraId="0E6B6682" w14:textId="77777777" w:rsidR="001B6284" w:rsidRPr="00A04DF2" w:rsidRDefault="00CE6328" w:rsidP="004C6586">
      <w:pPr>
        <w:contextualSpacing/>
        <w:rPr>
          <w:b/>
        </w:rPr>
      </w:pPr>
      <w:r w:rsidRPr="00A04DF2">
        <w:rPr>
          <w:b/>
        </w:rPr>
        <w:t>Assessment</w:t>
      </w:r>
      <w:r w:rsidR="001B6284" w:rsidRPr="00A04DF2">
        <w:rPr>
          <w:b/>
        </w:rPr>
        <w:t>:</w:t>
      </w:r>
    </w:p>
    <w:p w14:paraId="754D400A" w14:textId="2B46EAF4" w:rsidR="001B6284" w:rsidRDefault="00CE37AC" w:rsidP="004C6586">
      <w:pPr>
        <w:contextualSpacing/>
      </w:pPr>
      <w:r>
        <w:t>Exams: 30% each (2)</w:t>
      </w:r>
    </w:p>
    <w:p w14:paraId="2F9EBABE" w14:textId="77777777" w:rsidR="001B6284" w:rsidRDefault="001B6284" w:rsidP="004C6586">
      <w:pPr>
        <w:contextualSpacing/>
      </w:pPr>
      <w:r>
        <w:t>Paper: 30%</w:t>
      </w:r>
    </w:p>
    <w:p w14:paraId="776ECF48" w14:textId="77777777" w:rsidR="00A04DF2" w:rsidRDefault="001B6284" w:rsidP="004C6586">
      <w:pPr>
        <w:contextualSpacing/>
      </w:pPr>
      <w:r>
        <w:t xml:space="preserve">Course participation: </w:t>
      </w:r>
      <w:r w:rsidR="00581C41">
        <w:t>1</w:t>
      </w:r>
      <w:r>
        <w:t>0%</w:t>
      </w:r>
    </w:p>
    <w:p w14:paraId="7112E933" w14:textId="77777777" w:rsidR="00350AFA" w:rsidRDefault="00350AFA" w:rsidP="004C6586">
      <w:pPr>
        <w:contextualSpacing/>
      </w:pPr>
    </w:p>
    <w:p w14:paraId="7D894707" w14:textId="77777777" w:rsidR="00350AFA" w:rsidRPr="00A04DF2" w:rsidRDefault="00350AFA" w:rsidP="004C6586">
      <w:pPr>
        <w:contextualSpacing/>
        <w:rPr>
          <w:b/>
        </w:rPr>
      </w:pPr>
      <w:r w:rsidRPr="00A04DF2">
        <w:rPr>
          <w:b/>
        </w:rPr>
        <w:t>Exams:</w:t>
      </w:r>
    </w:p>
    <w:p w14:paraId="1676E157" w14:textId="25BCFFD2" w:rsidR="00A04DF2" w:rsidRDefault="00350AFA" w:rsidP="004C6586">
      <w:pPr>
        <w:contextualSpacing/>
      </w:pPr>
      <w:r>
        <w:t xml:space="preserve">There will be two exams for this course, one at the middle of the term and one </w:t>
      </w:r>
      <w:r w:rsidR="00CE37AC">
        <w:t>on the last scheduled course day</w:t>
      </w:r>
      <w:r>
        <w:t xml:space="preserve">.  The second exam is not cumulative, but deals only with the second half of the class.  Each exam will last 80 minutes and will consist of a combination of short answers and one long essay.  </w:t>
      </w:r>
      <w:r w:rsidR="00CE37AC">
        <w:t xml:space="preserve">The exams are closed-book; you may not access the internet or any electronic devices during the exam and may not bring books or notes with you.  </w:t>
      </w:r>
      <w:r>
        <w:t xml:space="preserve">If you require special </w:t>
      </w:r>
      <w:r w:rsidR="00CE6328">
        <w:t>accommodation</w:t>
      </w:r>
      <w:r>
        <w:t xml:space="preserve"> for exams please get in touch with the instructor at least ten days prior to the midterm.</w:t>
      </w:r>
    </w:p>
    <w:p w14:paraId="5EAECEFD" w14:textId="77777777" w:rsidR="00CE37AC" w:rsidRDefault="00CE37AC" w:rsidP="004C6586">
      <w:pPr>
        <w:contextualSpacing/>
      </w:pPr>
    </w:p>
    <w:p w14:paraId="7347A67C" w14:textId="66915609" w:rsidR="00CE37AC" w:rsidRDefault="00CE37AC" w:rsidP="004C6586">
      <w:pPr>
        <w:contextualSpacing/>
      </w:pPr>
      <w:r>
        <w:t>First Exam: March 3</w:t>
      </w:r>
    </w:p>
    <w:p w14:paraId="1ECAD670" w14:textId="709E7ED1" w:rsidR="00CE37AC" w:rsidRDefault="00CE37AC" w:rsidP="004C6586">
      <w:pPr>
        <w:contextualSpacing/>
      </w:pPr>
      <w:r>
        <w:t>Second Exam: April 23</w:t>
      </w:r>
    </w:p>
    <w:p w14:paraId="69AF7B94" w14:textId="77777777" w:rsidR="00350AFA" w:rsidRDefault="00350AFA" w:rsidP="004C6586">
      <w:pPr>
        <w:contextualSpacing/>
      </w:pPr>
    </w:p>
    <w:p w14:paraId="0C24C6B8" w14:textId="77777777" w:rsidR="00350AFA" w:rsidRPr="00A04DF2" w:rsidRDefault="00350AFA" w:rsidP="004C6586">
      <w:pPr>
        <w:contextualSpacing/>
        <w:rPr>
          <w:b/>
        </w:rPr>
      </w:pPr>
      <w:r w:rsidRPr="00A04DF2">
        <w:rPr>
          <w:b/>
        </w:rPr>
        <w:t>Paper:</w:t>
      </w:r>
    </w:p>
    <w:p w14:paraId="79E82E2C" w14:textId="6D1D4268" w:rsidR="00A04DF2" w:rsidRDefault="00350AFA" w:rsidP="004C6586">
      <w:pPr>
        <w:contextualSpacing/>
        <w:rPr>
          <w:rFonts w:ascii="Times" w:hAnsi="Times"/>
        </w:rPr>
      </w:pPr>
      <w:r>
        <w:t xml:space="preserve">One substantial research paper for this course will allow students to explore in depth a topic of </w:t>
      </w:r>
      <w:r w:rsidR="00CE6328">
        <w:t>interest</w:t>
      </w:r>
      <w:r>
        <w:t xml:space="preserve"> to them. </w:t>
      </w:r>
      <w:r w:rsidRPr="00FF1BD3">
        <w:rPr>
          <w:rFonts w:ascii="Times" w:hAnsi="Times"/>
        </w:rPr>
        <w:t xml:space="preserve">Topics and preliminary bibliographies must be handed in </w:t>
      </w:r>
      <w:r w:rsidR="00F37BAE">
        <w:rPr>
          <w:rFonts w:ascii="Times" w:hAnsi="Times"/>
        </w:rPr>
        <w:t>for</w:t>
      </w:r>
      <w:r w:rsidRPr="00FF1BD3">
        <w:rPr>
          <w:rFonts w:ascii="Times" w:hAnsi="Times"/>
        </w:rPr>
        <w:t xml:space="preserve"> </w:t>
      </w:r>
      <w:r w:rsidR="00F37BAE">
        <w:rPr>
          <w:rFonts w:ascii="Times" w:hAnsi="Times"/>
        </w:rPr>
        <w:t>approval</w:t>
      </w:r>
      <w:r w:rsidRPr="00FF1BD3">
        <w:rPr>
          <w:rFonts w:ascii="Times" w:hAnsi="Times"/>
        </w:rPr>
        <w:t xml:space="preserve"> three weeks prior to the paper due date. </w:t>
      </w:r>
      <w:r>
        <w:rPr>
          <w:rFonts w:ascii="Times" w:hAnsi="Times"/>
        </w:rPr>
        <w:t xml:space="preserve"> </w:t>
      </w:r>
      <w:r w:rsidRPr="00FF1BD3">
        <w:rPr>
          <w:rFonts w:ascii="Times" w:hAnsi="Times"/>
        </w:rPr>
        <w:t>You must use or</w:t>
      </w:r>
      <w:r>
        <w:rPr>
          <w:rFonts w:ascii="Times" w:hAnsi="Times"/>
        </w:rPr>
        <w:t xml:space="preserve">iginal sources in your research, including translations of texts and archaeological reports as appropriate, </w:t>
      </w:r>
      <w:r w:rsidRPr="00FF1BD3">
        <w:rPr>
          <w:rFonts w:ascii="Times" w:hAnsi="Times"/>
        </w:rPr>
        <w:t xml:space="preserve">as well as secondary sources.  While you are encouraged to identify topics in part based on the general readings for the course, you must go substantially beyond these general works in amassing a bibliography. </w:t>
      </w:r>
      <w:r>
        <w:rPr>
          <w:rFonts w:ascii="Times" w:hAnsi="Times"/>
        </w:rPr>
        <w:t xml:space="preserve"> At the time the preliminary bibliography is due, you should have identified at least five sources </w:t>
      </w:r>
      <w:r w:rsidR="00F37BAE">
        <w:rPr>
          <w:rFonts w:ascii="Times" w:hAnsi="Times"/>
        </w:rPr>
        <w:t xml:space="preserve">directly </w:t>
      </w:r>
      <w:r>
        <w:rPr>
          <w:rFonts w:ascii="Times" w:hAnsi="Times"/>
        </w:rPr>
        <w:t xml:space="preserve">relevant to your topic.  The paper itself should cite at least </w:t>
      </w:r>
      <w:r w:rsidR="00581C41">
        <w:rPr>
          <w:rFonts w:ascii="Times" w:hAnsi="Times"/>
        </w:rPr>
        <w:t>eight</w:t>
      </w:r>
      <w:r>
        <w:rPr>
          <w:rFonts w:ascii="Times" w:hAnsi="Times"/>
        </w:rPr>
        <w:t xml:space="preserve"> sources.  No more than two of these should be general works</w:t>
      </w:r>
      <w:r w:rsidR="00581C41">
        <w:rPr>
          <w:rFonts w:ascii="Times" w:hAnsi="Times"/>
        </w:rPr>
        <w:t>,</w:t>
      </w:r>
      <w:r>
        <w:rPr>
          <w:rFonts w:ascii="Times" w:hAnsi="Times"/>
        </w:rPr>
        <w:t xml:space="preserve"> and </w:t>
      </w:r>
      <w:r w:rsidR="00581C41">
        <w:rPr>
          <w:rFonts w:ascii="Times" w:hAnsi="Times"/>
        </w:rPr>
        <w:t>you may not cite</w:t>
      </w:r>
      <w:r>
        <w:rPr>
          <w:rFonts w:ascii="Times" w:hAnsi="Times"/>
        </w:rPr>
        <w:t xml:space="preserve"> internet sources unless they have been explicitly discussed with and cleared by the </w:t>
      </w:r>
      <w:r w:rsidR="00F37BAE">
        <w:rPr>
          <w:rFonts w:ascii="Times" w:hAnsi="Times"/>
        </w:rPr>
        <w:t>professor</w:t>
      </w:r>
      <w:r>
        <w:rPr>
          <w:rFonts w:ascii="Times" w:hAnsi="Times"/>
        </w:rPr>
        <w:t xml:space="preserve">.  </w:t>
      </w:r>
      <w:r w:rsidRPr="00FF1BD3">
        <w:rPr>
          <w:rFonts w:ascii="Times" w:hAnsi="Times"/>
        </w:rPr>
        <w:t xml:space="preserve">You are </w:t>
      </w:r>
      <w:r w:rsidRPr="00350AFA">
        <w:rPr>
          <w:rFonts w:ascii="Times" w:hAnsi="Times"/>
          <w:i/>
        </w:rPr>
        <w:t>strongly</w:t>
      </w:r>
      <w:r w:rsidRPr="00FF1BD3">
        <w:rPr>
          <w:rFonts w:ascii="Times" w:hAnsi="Times"/>
        </w:rPr>
        <w:t xml:space="preserve"> encouraged to speak to </w:t>
      </w:r>
      <w:r w:rsidR="00F37BAE">
        <w:rPr>
          <w:rFonts w:ascii="Times" w:hAnsi="Times"/>
        </w:rPr>
        <w:t>the professor and/or TAs</w:t>
      </w:r>
      <w:r w:rsidRPr="00FF1BD3">
        <w:rPr>
          <w:rFonts w:ascii="Times" w:hAnsi="Times"/>
        </w:rPr>
        <w:t xml:space="preserve"> about potential topics before developing your proposal and bibliography; identifying </w:t>
      </w:r>
      <w:r w:rsidRPr="00FF1BD3">
        <w:rPr>
          <w:rFonts w:ascii="Times" w:hAnsi="Times"/>
        </w:rPr>
        <w:lastRenderedPageBreak/>
        <w:t>focused</w:t>
      </w:r>
      <w:r w:rsidR="00581C41">
        <w:rPr>
          <w:rFonts w:ascii="Times" w:hAnsi="Times"/>
        </w:rPr>
        <w:t xml:space="preserve"> research</w:t>
      </w:r>
      <w:r w:rsidRPr="00FF1BD3">
        <w:rPr>
          <w:rFonts w:ascii="Times" w:hAnsi="Times"/>
        </w:rPr>
        <w:t xml:space="preserve"> topics is one of the most difficult tasks facing the student of the ancient world and </w:t>
      </w:r>
      <w:r w:rsidR="00F37BAE">
        <w:rPr>
          <w:rFonts w:ascii="Times" w:hAnsi="Times"/>
        </w:rPr>
        <w:t>we are</w:t>
      </w:r>
      <w:r w:rsidRPr="00FF1BD3">
        <w:rPr>
          <w:rFonts w:ascii="Times" w:hAnsi="Times"/>
        </w:rPr>
        <w:t xml:space="preserve"> more than happy to help you narrow your interests into a feasible</w:t>
      </w:r>
      <w:r w:rsidR="00581C41">
        <w:rPr>
          <w:rFonts w:ascii="Times" w:hAnsi="Times"/>
        </w:rPr>
        <w:t>,</w:t>
      </w:r>
      <w:r w:rsidRPr="00FF1BD3">
        <w:rPr>
          <w:rFonts w:ascii="Times" w:hAnsi="Times"/>
        </w:rPr>
        <w:t xml:space="preserve"> question-oriented topic.  Your paper should be approximately 2500-3000 words long and must include proper citations.  Failure to cite properly will result in a full grade deduction.  Papers will be graded on quality of research, strength of argument, organization and </w:t>
      </w:r>
      <w:r w:rsidR="00F37BAE">
        <w:rPr>
          <w:rFonts w:ascii="Times" w:hAnsi="Times"/>
        </w:rPr>
        <w:t xml:space="preserve">writing </w:t>
      </w:r>
      <w:r w:rsidRPr="00FF1BD3">
        <w:rPr>
          <w:rFonts w:ascii="Times" w:hAnsi="Times"/>
        </w:rPr>
        <w:t>style.</w:t>
      </w:r>
    </w:p>
    <w:p w14:paraId="0B74192E" w14:textId="77777777" w:rsidR="00CE37AC" w:rsidRDefault="00CE37AC" w:rsidP="004C6586">
      <w:pPr>
        <w:contextualSpacing/>
        <w:rPr>
          <w:rFonts w:ascii="Times" w:hAnsi="Times"/>
        </w:rPr>
      </w:pPr>
    </w:p>
    <w:p w14:paraId="7FF6B9EC" w14:textId="7D35079C" w:rsidR="00CE37AC" w:rsidRDefault="00CE37AC" w:rsidP="004C6586">
      <w:pPr>
        <w:contextualSpacing/>
        <w:rPr>
          <w:rFonts w:ascii="Times" w:hAnsi="Times"/>
        </w:rPr>
      </w:pPr>
      <w:r>
        <w:rPr>
          <w:rFonts w:ascii="Times" w:hAnsi="Times"/>
        </w:rPr>
        <w:t>Topic and bibliography: March 19</w:t>
      </w:r>
    </w:p>
    <w:p w14:paraId="37478620" w14:textId="7671F889" w:rsidR="00CE37AC" w:rsidRDefault="00CE37AC" w:rsidP="004C6586">
      <w:pPr>
        <w:contextualSpacing/>
        <w:rPr>
          <w:rFonts w:ascii="Times" w:hAnsi="Times"/>
        </w:rPr>
      </w:pPr>
      <w:r>
        <w:rPr>
          <w:rFonts w:ascii="Times" w:hAnsi="Times"/>
        </w:rPr>
        <w:t>Final paper: April 16</w:t>
      </w:r>
    </w:p>
    <w:p w14:paraId="5B404A10" w14:textId="77777777" w:rsidR="001B6284" w:rsidRDefault="001B6284" w:rsidP="004C6586">
      <w:pPr>
        <w:contextualSpacing/>
      </w:pPr>
    </w:p>
    <w:p w14:paraId="4C664039" w14:textId="77777777" w:rsidR="001B6284" w:rsidRPr="00A04DF2" w:rsidRDefault="001B6284" w:rsidP="004C6586">
      <w:pPr>
        <w:contextualSpacing/>
        <w:rPr>
          <w:b/>
        </w:rPr>
      </w:pPr>
      <w:r w:rsidRPr="00A04DF2">
        <w:rPr>
          <w:b/>
        </w:rPr>
        <w:t>Course policies:</w:t>
      </w:r>
    </w:p>
    <w:p w14:paraId="09BAA094" w14:textId="5ED211B1" w:rsidR="00CC3289" w:rsidRPr="001B6284" w:rsidRDefault="001B6284" w:rsidP="004C6586">
      <w:pPr>
        <w:contextualSpacing/>
      </w:pPr>
      <w:r>
        <w:t xml:space="preserve">Late work is unacceptable.  The paper topic with bibliography and the final paper are due at </w:t>
      </w:r>
      <w:r w:rsidR="00B163B0">
        <w:t>11:59pm</w:t>
      </w:r>
      <w:r>
        <w:t xml:space="preserve"> on the dates specified, </w:t>
      </w:r>
      <w:r w:rsidR="00F37BAE">
        <w:t>uploaded to Canvas</w:t>
      </w:r>
      <w:r>
        <w:t xml:space="preserve">.  No extensions on the paper or exams will be granted without a signed medical excuse presented </w:t>
      </w:r>
      <w:r w:rsidR="00F30714">
        <w:t>to</w:t>
      </w:r>
      <w:r>
        <w:t xml:space="preserve"> the instructor </w:t>
      </w:r>
      <w:r>
        <w:rPr>
          <w:i/>
        </w:rPr>
        <w:t xml:space="preserve">prior </w:t>
      </w:r>
      <w:r>
        <w:t>to the deadline or exam.</w:t>
      </w:r>
      <w:r w:rsidR="00B163B0">
        <w:t xml:space="preserve">  </w:t>
      </w:r>
    </w:p>
    <w:p w14:paraId="57AF0762" w14:textId="77777777" w:rsidR="004A5472" w:rsidRDefault="004A5472" w:rsidP="004C6586">
      <w:pPr>
        <w:contextualSpacing/>
      </w:pPr>
    </w:p>
    <w:p w14:paraId="70BB2E97" w14:textId="77777777" w:rsidR="00EE7B08" w:rsidRDefault="004A5472" w:rsidP="004C6586">
      <w:pPr>
        <w:contextualSpacing/>
        <w:rPr>
          <w:b/>
        </w:rPr>
      </w:pPr>
      <w:r w:rsidRPr="00A04DF2">
        <w:rPr>
          <w:b/>
        </w:rPr>
        <w:t>Books</w:t>
      </w:r>
      <w:r w:rsidR="00F65537" w:rsidRPr="00A04DF2">
        <w:rPr>
          <w:b/>
        </w:rPr>
        <w:t xml:space="preserve"> (available at the Brown Bookstore)</w:t>
      </w:r>
    </w:p>
    <w:p w14:paraId="57F73796" w14:textId="77777777" w:rsidR="00A04DF2" w:rsidRDefault="00EE7B08" w:rsidP="004C6586">
      <w:pPr>
        <w:contextualSpacing/>
        <w:rPr>
          <w:b/>
        </w:rPr>
      </w:pPr>
      <w:r>
        <w:rPr>
          <w:b/>
        </w:rPr>
        <w:t>Required</w:t>
      </w:r>
    </w:p>
    <w:p w14:paraId="421C6283" w14:textId="77777777" w:rsidR="004A5472" w:rsidRPr="00A04DF2" w:rsidRDefault="004A5472" w:rsidP="004C6586">
      <w:pPr>
        <w:contextualSpacing/>
        <w:rPr>
          <w:b/>
        </w:rPr>
      </w:pPr>
    </w:p>
    <w:p w14:paraId="55FC2071" w14:textId="77777777" w:rsidR="00A04DF2" w:rsidRDefault="00A04DF2" w:rsidP="004C6586">
      <w:pPr>
        <w:contextualSpacing/>
        <w:rPr>
          <w:i/>
        </w:rPr>
      </w:pPr>
      <w:r>
        <w:t xml:space="preserve">1. </w:t>
      </w:r>
      <w:proofErr w:type="spellStart"/>
      <w:r w:rsidR="004A5472">
        <w:t>Hornung</w:t>
      </w:r>
      <w:proofErr w:type="spellEnd"/>
      <w:r w:rsidR="004A5472">
        <w:t xml:space="preserve"> </w:t>
      </w:r>
      <w:r w:rsidR="004A5472">
        <w:rPr>
          <w:i/>
        </w:rPr>
        <w:t>Akhenaten and the Religion of Light</w:t>
      </w:r>
    </w:p>
    <w:p w14:paraId="44757B9F" w14:textId="77777777" w:rsidR="004A5472" w:rsidRPr="00F65537" w:rsidRDefault="004A5472" w:rsidP="004C6586">
      <w:pPr>
        <w:contextualSpacing/>
      </w:pPr>
    </w:p>
    <w:p w14:paraId="6A14642B" w14:textId="77777777" w:rsidR="00B8777A" w:rsidRDefault="00EE7B08" w:rsidP="004C6586">
      <w:pPr>
        <w:contextualSpacing/>
      </w:pPr>
      <w:r>
        <w:t>2</w:t>
      </w:r>
      <w:r w:rsidR="00A04DF2">
        <w:t xml:space="preserve">. </w:t>
      </w:r>
      <w:r w:rsidR="004A5472">
        <w:t>Silverman, Wegner and Wegner</w:t>
      </w:r>
      <w:r w:rsidR="004A5472">
        <w:rPr>
          <w:i/>
        </w:rPr>
        <w:t xml:space="preserve"> Akhenaten and Tutankhamun: Revolution and Restoration </w:t>
      </w:r>
      <w:r w:rsidR="004A5472">
        <w:t>(Silverman et al</w:t>
      </w:r>
      <w:r w:rsidR="00B8777A">
        <w:t>.</w:t>
      </w:r>
      <w:r w:rsidR="004A5472">
        <w:t xml:space="preserve"> in the syllabus)</w:t>
      </w:r>
    </w:p>
    <w:p w14:paraId="2B53A48F" w14:textId="77777777" w:rsidR="00EE7B08" w:rsidRPr="00EE7B08" w:rsidRDefault="00B8777A" w:rsidP="004C6586">
      <w:pPr>
        <w:contextualSpacing/>
      </w:pPr>
      <w:r>
        <w:tab/>
        <w:t>This is a very basic overview with excellent illustrations.  We will read it in its entirety early in the semester as background, and you are encouraged to return to it frequently for introductions to topics we wi</w:t>
      </w:r>
      <w:r w:rsidR="00931FE0">
        <w:t>l</w:t>
      </w:r>
      <w:r>
        <w:t>l treat in more depth.  The weekly readings after the first two weeks will be more detailed and technical; it will help you put them in context to have read Silverman et al. first.</w:t>
      </w:r>
    </w:p>
    <w:p w14:paraId="42DCBABF" w14:textId="77777777" w:rsidR="00571357" w:rsidRDefault="00571357" w:rsidP="004C6586">
      <w:pPr>
        <w:contextualSpacing/>
      </w:pPr>
    </w:p>
    <w:p w14:paraId="3482B3C9" w14:textId="1D3DE52E" w:rsidR="00F37BAE" w:rsidRPr="00F37BAE" w:rsidRDefault="00F37BAE" w:rsidP="004C6586">
      <w:pPr>
        <w:contextualSpacing/>
      </w:pPr>
      <w:r>
        <w:t xml:space="preserve">3. Kemp, </w:t>
      </w:r>
      <w:r>
        <w:rPr>
          <w:i/>
        </w:rPr>
        <w:t>Amarna: City of Akhenaten and Nefertiti</w:t>
      </w:r>
    </w:p>
    <w:p w14:paraId="1537EEC7" w14:textId="77777777" w:rsidR="00F37BAE" w:rsidRPr="004A5472" w:rsidRDefault="00F37BAE" w:rsidP="004C6586">
      <w:pPr>
        <w:contextualSpacing/>
      </w:pPr>
    </w:p>
    <w:p w14:paraId="28F4FF17" w14:textId="46227F84" w:rsidR="00EE7B08" w:rsidRDefault="00F37BAE" w:rsidP="004C6586">
      <w:pPr>
        <w:contextualSpacing/>
      </w:pPr>
      <w:r>
        <w:t>4</w:t>
      </w:r>
      <w:r w:rsidR="00A04DF2">
        <w:t xml:space="preserve">. </w:t>
      </w:r>
      <w:r w:rsidR="006C11FB">
        <w:t>Dodson</w:t>
      </w:r>
      <w:r w:rsidR="00EE7B08">
        <w:t>,</w:t>
      </w:r>
      <w:r w:rsidR="006C11FB">
        <w:t xml:space="preserve"> </w:t>
      </w:r>
      <w:r w:rsidR="006C11FB">
        <w:rPr>
          <w:i/>
        </w:rPr>
        <w:t>Amarna Sunset</w:t>
      </w:r>
      <w:r w:rsidR="006C11FB">
        <w:t xml:space="preserve"> </w:t>
      </w:r>
    </w:p>
    <w:p w14:paraId="59EAD6B1" w14:textId="77777777" w:rsidR="00EE7B08" w:rsidRDefault="00EE7B08" w:rsidP="004C6586">
      <w:pPr>
        <w:contextualSpacing/>
      </w:pPr>
    </w:p>
    <w:p w14:paraId="213B2D21" w14:textId="77777777" w:rsidR="00D44552" w:rsidRDefault="00EE7B08" w:rsidP="004C6586">
      <w:pPr>
        <w:contextualSpacing/>
        <w:rPr>
          <w:b/>
        </w:rPr>
      </w:pPr>
      <w:r>
        <w:rPr>
          <w:b/>
        </w:rPr>
        <w:t>Suggested</w:t>
      </w:r>
    </w:p>
    <w:p w14:paraId="763F02E2" w14:textId="77777777" w:rsidR="00EE7B08" w:rsidRDefault="00EE7B08" w:rsidP="004C6586">
      <w:pPr>
        <w:contextualSpacing/>
        <w:rPr>
          <w:b/>
        </w:rPr>
      </w:pPr>
    </w:p>
    <w:p w14:paraId="6A5E8545" w14:textId="72D06D4B" w:rsidR="00EE7B08" w:rsidRDefault="00EE7B08" w:rsidP="00EE7B08">
      <w:pPr>
        <w:contextualSpacing/>
      </w:pPr>
      <w:proofErr w:type="spellStart"/>
      <w:r>
        <w:t>Murnane</w:t>
      </w:r>
      <w:proofErr w:type="spellEnd"/>
      <w:r>
        <w:t xml:space="preserve"> </w:t>
      </w:r>
      <w:r>
        <w:rPr>
          <w:i/>
        </w:rPr>
        <w:t xml:space="preserve">Texts </w:t>
      </w:r>
      <w:r w:rsidR="00C62C75">
        <w:rPr>
          <w:i/>
        </w:rPr>
        <w:t>from</w:t>
      </w:r>
      <w:r>
        <w:rPr>
          <w:i/>
        </w:rPr>
        <w:t xml:space="preserve"> the Amarna Period </w:t>
      </w:r>
      <w:r>
        <w:t>(</w:t>
      </w:r>
      <w:proofErr w:type="spellStart"/>
      <w:r>
        <w:t>Murnane</w:t>
      </w:r>
      <w:proofErr w:type="spellEnd"/>
      <w:r>
        <w:t xml:space="preserve"> in the syllabus)</w:t>
      </w:r>
    </w:p>
    <w:p w14:paraId="6EE387C1" w14:textId="77777777" w:rsidR="00EE7B08" w:rsidRDefault="00EE7B08" w:rsidP="00EE7B08">
      <w:pPr>
        <w:contextualSpacing/>
      </w:pPr>
    </w:p>
    <w:p w14:paraId="40FDD89F" w14:textId="3408F21D" w:rsidR="00C62C75" w:rsidRDefault="00C62C75" w:rsidP="00EE7B08">
      <w:pPr>
        <w:contextualSpacing/>
      </w:pPr>
      <w:r>
        <w:t xml:space="preserve">This book is available as an </w:t>
      </w:r>
      <w:proofErr w:type="spellStart"/>
      <w:r>
        <w:t>ebook</w:t>
      </w:r>
      <w:proofErr w:type="spellEnd"/>
      <w:r>
        <w:t xml:space="preserve"> through Josiah, but it can be clunky to read online.  Since it is available free I have not ordered it from the bookstore, but it is an invaluable resource and you might want to get it yourself if your interest in the topic is deep.</w:t>
      </w:r>
    </w:p>
    <w:p w14:paraId="7F928BC5" w14:textId="77777777" w:rsidR="00C62C75" w:rsidRDefault="00C62C75" w:rsidP="00EE7B08">
      <w:pPr>
        <w:contextualSpacing/>
      </w:pPr>
    </w:p>
    <w:p w14:paraId="29DBFB83" w14:textId="77777777" w:rsidR="00EE7B08" w:rsidRDefault="00EE7B08" w:rsidP="00EE7B08">
      <w:pPr>
        <w:contextualSpacing/>
        <w:rPr>
          <w:i/>
        </w:rPr>
      </w:pPr>
      <w:r>
        <w:t xml:space="preserve">Redford, </w:t>
      </w:r>
      <w:r>
        <w:rPr>
          <w:i/>
        </w:rPr>
        <w:t>Akhenaten: The Heretic King</w:t>
      </w:r>
    </w:p>
    <w:p w14:paraId="563D0B97" w14:textId="77777777" w:rsidR="00C62C75" w:rsidRDefault="00EE7B08" w:rsidP="00EE7B08">
      <w:pPr>
        <w:contextualSpacing/>
        <w:rPr>
          <w:i/>
        </w:rPr>
      </w:pPr>
      <w:r>
        <w:rPr>
          <w:i/>
        </w:rPr>
        <w:tab/>
      </w:r>
    </w:p>
    <w:p w14:paraId="774CA8ED" w14:textId="442BD069" w:rsidR="00EE7B08" w:rsidRPr="00EE7B08" w:rsidRDefault="00EE7B08" w:rsidP="00EE7B08">
      <w:pPr>
        <w:contextualSpacing/>
      </w:pPr>
      <w:r>
        <w:t xml:space="preserve">This is not required because it is out of print, but it is very worth owning if you are interested enough in the period that you will want to look at your books again </w:t>
      </w:r>
      <w:proofErr w:type="spellStart"/>
      <w:r>
        <w:t>some day</w:t>
      </w:r>
      <w:proofErr w:type="spellEnd"/>
      <w:r>
        <w:t xml:space="preserve">.  The assigned readings will be posted to </w:t>
      </w:r>
      <w:r w:rsidR="002E70EA">
        <w:t>Canvas</w:t>
      </w:r>
      <w:r>
        <w:t>.</w:t>
      </w:r>
    </w:p>
    <w:p w14:paraId="52F99238" w14:textId="77777777" w:rsidR="006C11FB" w:rsidRDefault="006C11FB" w:rsidP="004C6586">
      <w:pPr>
        <w:contextualSpacing/>
      </w:pPr>
    </w:p>
    <w:p w14:paraId="4B6B4D94" w14:textId="77777777" w:rsidR="00571357" w:rsidRPr="00AA0124" w:rsidRDefault="00AA0124" w:rsidP="004C6586">
      <w:pPr>
        <w:contextualSpacing/>
      </w:pPr>
      <w:r>
        <w:t>To be aware of: There is more written on the Amarna Period than any other time</w:t>
      </w:r>
      <w:r w:rsidR="00931FE0">
        <w:t xml:space="preserve"> period</w:t>
      </w:r>
      <w:r>
        <w:t xml:space="preserve"> in Egypt.  A bibliography compiled by Geoffrey Martin lists over 2000 titles (</w:t>
      </w:r>
      <w:r>
        <w:rPr>
          <w:i/>
        </w:rPr>
        <w:t>A Bibliography of the Amarna Period and its Aftermath</w:t>
      </w:r>
      <w:r>
        <w:t>, London, 1991</w:t>
      </w:r>
      <w:r w:rsidR="00D44552">
        <w:t>)</w:t>
      </w:r>
      <w:r>
        <w:t xml:space="preserve">.  This is an excellent place to start for research; </w:t>
      </w:r>
      <w:r w:rsidR="00EE7B08">
        <w:t>most of the</w:t>
      </w:r>
      <w:r>
        <w:t xml:space="preserve"> readings assigned below </w:t>
      </w:r>
      <w:r w:rsidR="00EE7B08">
        <w:t xml:space="preserve">are more recent </w:t>
      </w:r>
      <w:r>
        <w:t>and, through footnotes, can provide access to more that has been published in the last decades.</w:t>
      </w:r>
    </w:p>
    <w:p w14:paraId="6E8BFB6F" w14:textId="77777777" w:rsidR="00571357" w:rsidRDefault="00571357" w:rsidP="004C6586">
      <w:pPr>
        <w:contextualSpacing/>
      </w:pPr>
    </w:p>
    <w:p w14:paraId="2E8C15CA" w14:textId="77777777" w:rsidR="0066303C" w:rsidRDefault="00AA0124" w:rsidP="004C6586">
      <w:pPr>
        <w:contextualSpacing/>
        <w:rPr>
          <w:b/>
        </w:rPr>
      </w:pPr>
      <w:r w:rsidRPr="003E51A8">
        <w:rPr>
          <w:b/>
        </w:rPr>
        <w:t xml:space="preserve">Week </w:t>
      </w:r>
      <w:r w:rsidR="00FB083A">
        <w:rPr>
          <w:b/>
        </w:rPr>
        <w:t xml:space="preserve">1: </w:t>
      </w:r>
      <w:r w:rsidR="00571357" w:rsidRPr="003E51A8">
        <w:rPr>
          <w:b/>
        </w:rPr>
        <w:t>Introduction</w:t>
      </w:r>
    </w:p>
    <w:p w14:paraId="0B39B4E8" w14:textId="7E67AF76" w:rsidR="00A04DF2" w:rsidRDefault="0066303C" w:rsidP="004C6586">
      <w:pPr>
        <w:contextualSpacing/>
        <w:rPr>
          <w:b/>
        </w:rPr>
      </w:pPr>
      <w:r>
        <w:rPr>
          <w:b/>
        </w:rPr>
        <w:t>January 22</w:t>
      </w:r>
      <w:r w:rsidR="00571357" w:rsidRPr="003E51A8">
        <w:rPr>
          <w:b/>
        </w:rPr>
        <w:tab/>
      </w:r>
    </w:p>
    <w:p w14:paraId="3FDDEB31" w14:textId="77777777" w:rsidR="004A5472" w:rsidRPr="00A04DF2" w:rsidRDefault="00A04DF2" w:rsidP="004C6586">
      <w:pPr>
        <w:contextualSpacing/>
      </w:pPr>
      <w:r>
        <w:t>Readings:</w:t>
      </w:r>
    </w:p>
    <w:p w14:paraId="3F949882" w14:textId="77777777" w:rsidR="00571357" w:rsidRPr="004A5472" w:rsidRDefault="00B8777A" w:rsidP="004C6586">
      <w:pPr>
        <w:contextualSpacing/>
      </w:pPr>
      <w:r>
        <w:t>Silverman et al</w:t>
      </w:r>
      <w:r w:rsidR="00931FE0">
        <w:t>.</w:t>
      </w:r>
      <w:r>
        <w:t>, 1-92 and 185-188</w:t>
      </w:r>
    </w:p>
    <w:p w14:paraId="42AB87AC" w14:textId="1BB33410" w:rsidR="00A04DF2" w:rsidRDefault="00571357" w:rsidP="004C6586">
      <w:pPr>
        <w:contextualSpacing/>
      </w:pPr>
      <w:r>
        <w:t>Kemp</w:t>
      </w:r>
      <w:r w:rsidR="001F26BD">
        <w:t xml:space="preserve"> 17-46</w:t>
      </w:r>
    </w:p>
    <w:p w14:paraId="4980A029" w14:textId="77777777" w:rsidR="00571357" w:rsidRDefault="00571357" w:rsidP="004C6586">
      <w:pPr>
        <w:contextualSpacing/>
      </w:pPr>
    </w:p>
    <w:p w14:paraId="668D1417" w14:textId="77777777" w:rsidR="00B8777A" w:rsidRDefault="00AA0124" w:rsidP="004C6586">
      <w:pPr>
        <w:contextualSpacing/>
        <w:rPr>
          <w:b/>
        </w:rPr>
      </w:pPr>
      <w:r w:rsidRPr="003E51A8">
        <w:rPr>
          <w:b/>
        </w:rPr>
        <w:t xml:space="preserve">Week </w:t>
      </w:r>
      <w:r w:rsidR="00FB083A">
        <w:rPr>
          <w:b/>
        </w:rPr>
        <w:t xml:space="preserve">2: </w:t>
      </w:r>
      <w:r w:rsidR="00571357" w:rsidRPr="003E51A8">
        <w:rPr>
          <w:b/>
        </w:rPr>
        <w:t>Setting the stage: Early 18</w:t>
      </w:r>
      <w:r w:rsidR="00571357" w:rsidRPr="003E51A8">
        <w:rPr>
          <w:b/>
          <w:vertAlign w:val="superscript"/>
        </w:rPr>
        <w:t>th</w:t>
      </w:r>
      <w:r w:rsidR="00571357" w:rsidRPr="003E51A8">
        <w:rPr>
          <w:b/>
        </w:rPr>
        <w:t xml:space="preserve"> Dynasty Egypt</w:t>
      </w:r>
    </w:p>
    <w:p w14:paraId="6AC32BD0" w14:textId="5C74C4C5" w:rsidR="0066303C" w:rsidRPr="003E51A8" w:rsidRDefault="0066303C" w:rsidP="004C6586">
      <w:pPr>
        <w:contextualSpacing/>
        <w:rPr>
          <w:b/>
        </w:rPr>
      </w:pPr>
      <w:r>
        <w:rPr>
          <w:b/>
        </w:rPr>
        <w:t>January 27 and 29</w:t>
      </w:r>
    </w:p>
    <w:p w14:paraId="4D48B655" w14:textId="77777777" w:rsidR="00A04DF2" w:rsidRDefault="00A04DF2" w:rsidP="004C6586">
      <w:pPr>
        <w:contextualSpacing/>
      </w:pPr>
      <w:r>
        <w:t>Readings:</w:t>
      </w:r>
    </w:p>
    <w:p w14:paraId="7987BE01" w14:textId="77777777" w:rsidR="00203B62" w:rsidRDefault="003E51A8" w:rsidP="004C6586">
      <w:pPr>
        <w:contextualSpacing/>
      </w:pPr>
      <w:r>
        <w:t>Bryan “The 18</w:t>
      </w:r>
      <w:r w:rsidRPr="003E51A8">
        <w:rPr>
          <w:vertAlign w:val="superscript"/>
        </w:rPr>
        <w:t>th</w:t>
      </w:r>
      <w:r>
        <w:t xml:space="preserve"> Dynasty </w:t>
      </w:r>
      <w:proofErr w:type="gramStart"/>
      <w:r>
        <w:t>Before</w:t>
      </w:r>
      <w:proofErr w:type="gramEnd"/>
      <w:r>
        <w:t xml:space="preserve"> the Amarna Period” in Shaw </w:t>
      </w:r>
      <w:r>
        <w:rPr>
          <w:i/>
        </w:rPr>
        <w:t>Oxford History of Ancient Egypt</w:t>
      </w:r>
      <w:r w:rsidR="004C6586">
        <w:t>, 218-</w:t>
      </w:r>
      <w:r>
        <w:t>60</w:t>
      </w:r>
    </w:p>
    <w:p w14:paraId="6791387A" w14:textId="77777777" w:rsidR="00203B62" w:rsidRDefault="00203B62" w:rsidP="004C6586">
      <w:pPr>
        <w:contextualSpacing/>
      </w:pPr>
      <w:r>
        <w:t xml:space="preserve">Kemp </w:t>
      </w:r>
      <w:r>
        <w:rPr>
          <w:i/>
        </w:rPr>
        <w:t>Ancient Egypt: Anatomy of a Civilization</w:t>
      </w:r>
      <w:r>
        <w:t xml:space="preserve"> Chapter 6, 247-301</w:t>
      </w:r>
    </w:p>
    <w:p w14:paraId="493093EF" w14:textId="77777777" w:rsidR="00571357" w:rsidRPr="003E51A8" w:rsidRDefault="00571357" w:rsidP="004C6586">
      <w:pPr>
        <w:contextualSpacing/>
      </w:pPr>
    </w:p>
    <w:p w14:paraId="67A81C14" w14:textId="77777777" w:rsidR="003E51A8" w:rsidRDefault="00AA0124" w:rsidP="004C6586">
      <w:pPr>
        <w:contextualSpacing/>
        <w:rPr>
          <w:b/>
        </w:rPr>
      </w:pPr>
      <w:r w:rsidRPr="003E51A8">
        <w:rPr>
          <w:b/>
        </w:rPr>
        <w:t xml:space="preserve">Week </w:t>
      </w:r>
      <w:r w:rsidR="00FB083A">
        <w:rPr>
          <w:b/>
        </w:rPr>
        <w:t xml:space="preserve">3: </w:t>
      </w:r>
      <w:r w:rsidR="00571357" w:rsidRPr="003E51A8">
        <w:rPr>
          <w:b/>
        </w:rPr>
        <w:t>Amenhotep III: changing relations between king, divinity and the sun</w:t>
      </w:r>
    </w:p>
    <w:p w14:paraId="06AD9D3A" w14:textId="4D755D83" w:rsidR="0066303C" w:rsidRPr="003E51A8" w:rsidRDefault="0066303C" w:rsidP="004C6586">
      <w:pPr>
        <w:contextualSpacing/>
        <w:rPr>
          <w:b/>
        </w:rPr>
      </w:pPr>
      <w:r>
        <w:rPr>
          <w:b/>
        </w:rPr>
        <w:t>February 3 and 5</w:t>
      </w:r>
    </w:p>
    <w:p w14:paraId="374A0674" w14:textId="77777777" w:rsidR="00A04DF2" w:rsidRPr="00A04DF2" w:rsidRDefault="00A04DF2" w:rsidP="004C6586">
      <w:pPr>
        <w:contextualSpacing/>
      </w:pPr>
      <w:r>
        <w:t>Readings:</w:t>
      </w:r>
    </w:p>
    <w:p w14:paraId="2DE66C27" w14:textId="77777777" w:rsidR="003E51A8" w:rsidRDefault="003E51A8" w:rsidP="004C6586">
      <w:pPr>
        <w:contextualSpacing/>
      </w:pPr>
      <w:r>
        <w:t>Bryan</w:t>
      </w:r>
      <w:r w:rsidR="00931FE0">
        <w:t>,</w:t>
      </w:r>
      <w:r>
        <w:t xml:space="preserve"> 260-71</w:t>
      </w:r>
      <w:r w:rsidR="00203B62">
        <w:t xml:space="preserve"> (included in the pdf of that chapter from last week’s readings)</w:t>
      </w:r>
    </w:p>
    <w:p w14:paraId="7BCFF01A" w14:textId="77777777" w:rsidR="00203B62" w:rsidRDefault="003E51A8" w:rsidP="004C6586">
      <w:pPr>
        <w:contextualSpacing/>
      </w:pPr>
      <w:r>
        <w:t>Silverman et al</w:t>
      </w:r>
      <w:r w:rsidR="00931FE0">
        <w:t>.</w:t>
      </w:r>
      <w:r>
        <w:t>, 93-184</w:t>
      </w:r>
    </w:p>
    <w:p w14:paraId="733B10C6" w14:textId="77777777" w:rsidR="004C6586" w:rsidRDefault="00203B62" w:rsidP="004C6586">
      <w:pPr>
        <w:contextualSpacing/>
      </w:pPr>
      <w:proofErr w:type="spellStart"/>
      <w:r>
        <w:t>Murnane</w:t>
      </w:r>
      <w:proofErr w:type="spellEnd"/>
      <w:r w:rsidR="00931FE0">
        <w:t>,</w:t>
      </w:r>
      <w:r>
        <w:t xml:space="preserve"> p</w:t>
      </w:r>
      <w:r w:rsidR="00931FE0">
        <w:t>ages</w:t>
      </w:r>
      <w:r w:rsidR="0077007A">
        <w:t xml:space="preserve"> </w:t>
      </w:r>
      <w:r>
        <w:t xml:space="preserve">1-28 </w:t>
      </w:r>
    </w:p>
    <w:p w14:paraId="3BFF7B88" w14:textId="77777777" w:rsidR="004C6586" w:rsidRPr="004C6586" w:rsidRDefault="004C6586" w:rsidP="004C6586">
      <w:pPr>
        <w:contextualSpacing/>
      </w:pPr>
      <w:r>
        <w:t>Cline, Eric “</w:t>
      </w:r>
      <w:r w:rsidRPr="004E080D">
        <w:t>Overview</w:t>
      </w:r>
      <w:r>
        <w:t xml:space="preserve"> of Amenhotep III and His Reign”</w:t>
      </w:r>
      <w:r w:rsidRPr="004C6586">
        <w:t xml:space="preserve"> </w:t>
      </w:r>
      <w:r>
        <w:t>in</w:t>
      </w:r>
      <w:r>
        <w:rPr>
          <w:i/>
        </w:rPr>
        <w:t xml:space="preserve"> Amenhotep III, Perspectives on his Reign</w:t>
      </w:r>
      <w:r>
        <w:t>, 1-26</w:t>
      </w:r>
    </w:p>
    <w:p w14:paraId="5332F722" w14:textId="77777777" w:rsidR="003E51A8" w:rsidRPr="004C6586" w:rsidRDefault="004C6586" w:rsidP="004C6586">
      <w:pPr>
        <w:contextualSpacing/>
      </w:pPr>
      <w:r>
        <w:t>O’Connor “The City and the World: Worldview and Built Forms in the Reign of Amenhotep III” in</w:t>
      </w:r>
      <w:r>
        <w:rPr>
          <w:i/>
        </w:rPr>
        <w:t xml:space="preserve"> Amenhotep III, Perspectives on his Reign</w:t>
      </w:r>
      <w:r>
        <w:t>, 125-172.</w:t>
      </w:r>
    </w:p>
    <w:p w14:paraId="653FAE50" w14:textId="77777777" w:rsidR="00571357" w:rsidRDefault="00571357" w:rsidP="004C6586">
      <w:pPr>
        <w:contextualSpacing/>
      </w:pPr>
    </w:p>
    <w:p w14:paraId="570F2088" w14:textId="7FA6C20A" w:rsidR="004A5472" w:rsidRDefault="00AA0124" w:rsidP="004C6586">
      <w:pPr>
        <w:contextualSpacing/>
        <w:rPr>
          <w:b/>
        </w:rPr>
      </w:pPr>
      <w:r w:rsidRPr="003E51A8">
        <w:rPr>
          <w:b/>
        </w:rPr>
        <w:t xml:space="preserve">Week </w:t>
      </w:r>
      <w:r w:rsidR="00FB083A">
        <w:rPr>
          <w:b/>
        </w:rPr>
        <w:t xml:space="preserve">4: </w:t>
      </w:r>
      <w:r w:rsidR="00571357" w:rsidRPr="003E51A8">
        <w:rPr>
          <w:b/>
        </w:rPr>
        <w:t xml:space="preserve">Amenhotep IV: </w:t>
      </w:r>
      <w:proofErr w:type="gramStart"/>
      <w:r w:rsidR="00571357" w:rsidRPr="003E51A8">
        <w:rPr>
          <w:b/>
        </w:rPr>
        <w:t>coregency</w:t>
      </w:r>
      <w:r w:rsidR="00E63B6E">
        <w:rPr>
          <w:b/>
        </w:rPr>
        <w:t>(</w:t>
      </w:r>
      <w:proofErr w:type="gramEnd"/>
      <w:r w:rsidR="00571357" w:rsidRPr="003E51A8">
        <w:rPr>
          <w:b/>
        </w:rPr>
        <w:t>?</w:t>
      </w:r>
      <w:r w:rsidR="00E63B6E">
        <w:rPr>
          <w:b/>
        </w:rPr>
        <w:t>) and Theban beginnings</w:t>
      </w:r>
    </w:p>
    <w:p w14:paraId="2A914135" w14:textId="217F6732" w:rsidR="0066303C" w:rsidRPr="003E51A8" w:rsidRDefault="0066303C" w:rsidP="004C6586">
      <w:pPr>
        <w:contextualSpacing/>
        <w:rPr>
          <w:b/>
        </w:rPr>
      </w:pPr>
      <w:r>
        <w:rPr>
          <w:b/>
        </w:rPr>
        <w:t>February 10 and 12</w:t>
      </w:r>
    </w:p>
    <w:p w14:paraId="7A5FE9B4" w14:textId="77777777" w:rsidR="00A04DF2" w:rsidRPr="00A04DF2" w:rsidRDefault="00A04DF2" w:rsidP="004C6586">
      <w:pPr>
        <w:contextualSpacing/>
      </w:pPr>
      <w:r>
        <w:t>Readings:</w:t>
      </w:r>
    </w:p>
    <w:p w14:paraId="4C959899" w14:textId="77777777" w:rsidR="00A04DF2" w:rsidRDefault="004A5472" w:rsidP="00A47AC6">
      <w:pPr>
        <w:contextualSpacing/>
      </w:pPr>
      <w:r>
        <w:t xml:space="preserve">Baines “The Dawn of the Amarna Age” in </w:t>
      </w:r>
      <w:r w:rsidRPr="00203B62">
        <w:rPr>
          <w:i/>
        </w:rPr>
        <w:t>Amenhotep III, Perspectives on His Reign</w:t>
      </w:r>
      <w:r>
        <w:t>, 271-312</w:t>
      </w:r>
    </w:p>
    <w:p w14:paraId="220C0950" w14:textId="77777777" w:rsidR="00D643FC" w:rsidRDefault="00A04DF2" w:rsidP="00A47AC6">
      <w:pPr>
        <w:contextualSpacing/>
      </w:pPr>
      <w:proofErr w:type="spellStart"/>
      <w:r>
        <w:t>Murnane</w:t>
      </w:r>
      <w:proofErr w:type="spellEnd"/>
      <w:r>
        <w:t xml:space="preserve"> 6, 10, 22, 26, 28</w:t>
      </w:r>
    </w:p>
    <w:p w14:paraId="76B56E3C" w14:textId="277D20D7" w:rsidR="0077007A" w:rsidRDefault="003E51A8" w:rsidP="00A47AC6">
      <w:pPr>
        <w:contextualSpacing/>
      </w:pPr>
      <w:r>
        <w:t>Redford</w:t>
      </w:r>
      <w:r w:rsidR="00203B62">
        <w:t xml:space="preserve"> </w:t>
      </w:r>
      <w:r w:rsidR="00203B62">
        <w:rPr>
          <w:i/>
        </w:rPr>
        <w:t>Akhenaten: The Heretic King</w:t>
      </w:r>
      <w:r w:rsidR="00203B62">
        <w:t>, 57-136</w:t>
      </w:r>
      <w:r w:rsidR="000B0570">
        <w:t>.</w:t>
      </w:r>
    </w:p>
    <w:p w14:paraId="7599C73B" w14:textId="0F817F4D" w:rsidR="000B0570" w:rsidRDefault="000B0570" w:rsidP="00A47AC6">
      <w:pPr>
        <w:contextualSpacing/>
      </w:pPr>
      <w:r>
        <w:t xml:space="preserve">Johnson, W. Raymond. 1996. “Amenhotep III and Amarna: some new considerations,” </w:t>
      </w:r>
      <w:r>
        <w:rPr>
          <w:i/>
        </w:rPr>
        <w:t xml:space="preserve">JEA </w:t>
      </w:r>
      <w:r>
        <w:t>82:65-82.</w:t>
      </w:r>
    </w:p>
    <w:p w14:paraId="15FFC050" w14:textId="4432DC32" w:rsidR="000B0570" w:rsidRPr="000B0570" w:rsidRDefault="000B0570" w:rsidP="00A47AC6">
      <w:pPr>
        <w:contextualSpacing/>
      </w:pPr>
      <w:r>
        <w:t xml:space="preserve">Allen, James, William </w:t>
      </w:r>
      <w:proofErr w:type="spellStart"/>
      <w:r>
        <w:t>Murnane</w:t>
      </w:r>
      <w:proofErr w:type="spellEnd"/>
      <w:r>
        <w:t xml:space="preserve">, and Jacobus van </w:t>
      </w:r>
      <w:proofErr w:type="spellStart"/>
      <w:r>
        <w:t>Dijk</w:t>
      </w:r>
      <w:proofErr w:type="spellEnd"/>
      <w:r>
        <w:t xml:space="preserve">. 1994. “Further Evidence for the Coregency of Amenhotep III and IV.” </w:t>
      </w:r>
      <w:r>
        <w:rPr>
          <w:i/>
        </w:rPr>
        <w:t xml:space="preserve">Amarna Letters </w:t>
      </w:r>
      <w:r>
        <w:t>3: 26-31.</w:t>
      </w:r>
    </w:p>
    <w:p w14:paraId="7A58F8D4" w14:textId="63816202" w:rsidR="000B0570" w:rsidRPr="000B0570" w:rsidRDefault="00A47AC6" w:rsidP="00A47AC6">
      <w:r>
        <w:t>Dodson in K</w:t>
      </w:r>
      <w:r w:rsidR="000B0570">
        <w:t>MT, Summer 2014, 19-35.</w:t>
      </w:r>
    </w:p>
    <w:p w14:paraId="4418D897" w14:textId="77777777" w:rsidR="00552420" w:rsidRDefault="00AA0124" w:rsidP="004C6586">
      <w:pPr>
        <w:contextualSpacing/>
        <w:rPr>
          <w:b/>
        </w:rPr>
      </w:pPr>
      <w:r w:rsidRPr="003E51A8">
        <w:rPr>
          <w:b/>
        </w:rPr>
        <w:t xml:space="preserve">Week </w:t>
      </w:r>
      <w:r w:rsidR="00FB083A">
        <w:rPr>
          <w:b/>
        </w:rPr>
        <w:t xml:space="preserve">5: </w:t>
      </w:r>
      <w:r w:rsidR="00571357" w:rsidRPr="003E51A8">
        <w:rPr>
          <w:b/>
        </w:rPr>
        <w:t xml:space="preserve">Theology of </w:t>
      </w:r>
      <w:proofErr w:type="spellStart"/>
      <w:r w:rsidR="00571357" w:rsidRPr="003E51A8">
        <w:rPr>
          <w:b/>
        </w:rPr>
        <w:t>Atenism</w:t>
      </w:r>
      <w:proofErr w:type="spellEnd"/>
      <w:r w:rsidR="004A00E1" w:rsidRPr="003E51A8">
        <w:rPr>
          <w:b/>
        </w:rPr>
        <w:t xml:space="preserve"> and its Historiography</w:t>
      </w:r>
    </w:p>
    <w:p w14:paraId="2FA6B3F2" w14:textId="6E365349" w:rsidR="0066303C" w:rsidRDefault="000B0570" w:rsidP="004C6586">
      <w:pPr>
        <w:contextualSpacing/>
        <w:rPr>
          <w:b/>
        </w:rPr>
      </w:pPr>
      <w:r>
        <w:rPr>
          <w:b/>
        </w:rPr>
        <w:t>(</w:t>
      </w:r>
      <w:proofErr w:type="gramStart"/>
      <w:r>
        <w:rPr>
          <w:b/>
        </w:rPr>
        <w:t>no</w:t>
      </w:r>
      <w:proofErr w:type="gramEnd"/>
      <w:r>
        <w:rPr>
          <w:b/>
        </w:rPr>
        <w:t xml:space="preserve"> class February 17) </w:t>
      </w:r>
      <w:r w:rsidR="0066303C">
        <w:rPr>
          <w:b/>
        </w:rPr>
        <w:t>February 19</w:t>
      </w:r>
    </w:p>
    <w:p w14:paraId="0839FB51" w14:textId="77777777" w:rsidR="00A04DF2" w:rsidRPr="00A04DF2" w:rsidRDefault="00A04DF2" w:rsidP="004C6586">
      <w:pPr>
        <w:contextualSpacing/>
      </w:pPr>
      <w:r>
        <w:lastRenderedPageBreak/>
        <w:t>Readings:</w:t>
      </w:r>
    </w:p>
    <w:p w14:paraId="336AF977" w14:textId="77777777" w:rsidR="00E07A82" w:rsidRDefault="00E07A82" w:rsidP="004C6586">
      <w:pPr>
        <w:contextualSpacing/>
      </w:pPr>
      <w:proofErr w:type="spellStart"/>
      <w:r>
        <w:t>Murnane</w:t>
      </w:r>
      <w:proofErr w:type="spellEnd"/>
      <w:r>
        <w:t xml:space="preserve"> 58-B.4</w:t>
      </w:r>
    </w:p>
    <w:p w14:paraId="29F1160F" w14:textId="77777777" w:rsidR="00AA0124" w:rsidRPr="004C6586" w:rsidRDefault="00571357" w:rsidP="004C6586">
      <w:pPr>
        <w:contextualSpacing/>
      </w:pPr>
      <w:proofErr w:type="spellStart"/>
      <w:r>
        <w:t>Hornung</w:t>
      </w:r>
      <w:proofErr w:type="spellEnd"/>
      <w:r>
        <w:t xml:space="preserve"> </w:t>
      </w:r>
      <w:r>
        <w:rPr>
          <w:i/>
        </w:rPr>
        <w:t>Akhenaten and the Religion of Light</w:t>
      </w:r>
      <w:r w:rsidR="004C6586">
        <w:t>, 1-146</w:t>
      </w:r>
    </w:p>
    <w:p w14:paraId="20E81066" w14:textId="77777777" w:rsidR="0011436D" w:rsidRDefault="00AA0124" w:rsidP="004C6586">
      <w:pPr>
        <w:contextualSpacing/>
      </w:pPr>
      <w:r w:rsidRPr="00AA0124">
        <w:t>Eaton-Krauss</w:t>
      </w:r>
      <w:r>
        <w:t xml:space="preserve"> “Akhenaten versus Akhenaten”, </w:t>
      </w:r>
      <w:proofErr w:type="spellStart"/>
      <w:r>
        <w:rPr>
          <w:i/>
        </w:rPr>
        <w:t>BiOr</w:t>
      </w:r>
      <w:proofErr w:type="spellEnd"/>
      <w:r>
        <w:t xml:space="preserve"> 47 (1990), 541-59.</w:t>
      </w:r>
    </w:p>
    <w:p w14:paraId="01C9CF75" w14:textId="77777777" w:rsidR="004C6586" w:rsidRDefault="0011436D" w:rsidP="004C6586">
      <w:pPr>
        <w:contextualSpacing/>
      </w:pPr>
      <w:r>
        <w:t xml:space="preserve">Montserrat “Protestants, </w:t>
      </w:r>
      <w:r w:rsidR="00CE6328">
        <w:t>psychoanalysts</w:t>
      </w:r>
      <w:r>
        <w:t xml:space="preserve"> and Fascists” in </w:t>
      </w:r>
      <w:r>
        <w:rPr>
          <w:i/>
        </w:rPr>
        <w:t>Akhenaten: History, Fantasy and Ancient Egypt</w:t>
      </w:r>
      <w:r>
        <w:t>, 95-113.</w:t>
      </w:r>
    </w:p>
    <w:p w14:paraId="36286A09" w14:textId="77777777" w:rsidR="00817287" w:rsidRDefault="004C6586" w:rsidP="004C6586">
      <w:pPr>
        <w:contextualSpacing/>
      </w:pPr>
      <w:r>
        <w:t xml:space="preserve">Gunn, </w:t>
      </w:r>
      <w:proofErr w:type="spellStart"/>
      <w:r>
        <w:t>Battiscombe</w:t>
      </w:r>
      <w:proofErr w:type="spellEnd"/>
      <w:r>
        <w:t xml:space="preserve">; 1923. ‘Notes on the Aten and His Names’, </w:t>
      </w:r>
      <w:r>
        <w:rPr>
          <w:i/>
        </w:rPr>
        <w:t xml:space="preserve">JEA </w:t>
      </w:r>
      <w:r>
        <w:t>9: 168-176</w:t>
      </w:r>
    </w:p>
    <w:p w14:paraId="4778AD65" w14:textId="77777777" w:rsidR="00AA6E92" w:rsidRDefault="00817287" w:rsidP="004C6586">
      <w:pPr>
        <w:contextualSpacing/>
      </w:pPr>
      <w:r>
        <w:t xml:space="preserve">Redford </w:t>
      </w:r>
      <w:r>
        <w:rPr>
          <w:i/>
        </w:rPr>
        <w:t>Akhenaten: Heretic Pharaoh</w:t>
      </w:r>
      <w:r>
        <w:t>, 157-184</w:t>
      </w:r>
    </w:p>
    <w:p w14:paraId="7BA0C92A" w14:textId="77777777" w:rsidR="00931FE0" w:rsidRPr="00AA6E92" w:rsidRDefault="00AA6E92" w:rsidP="004C6586">
      <w:pPr>
        <w:contextualSpacing/>
      </w:pPr>
      <w:r>
        <w:t xml:space="preserve">Allen, “The Natural </w:t>
      </w:r>
      <w:proofErr w:type="spellStart"/>
      <w:r>
        <w:t>Philosphy</w:t>
      </w:r>
      <w:proofErr w:type="spellEnd"/>
      <w:r>
        <w:t xml:space="preserve"> of Akhenaten” in </w:t>
      </w:r>
      <w:r>
        <w:rPr>
          <w:i/>
        </w:rPr>
        <w:t xml:space="preserve">Religion and </w:t>
      </w:r>
      <w:proofErr w:type="spellStart"/>
      <w:r>
        <w:rPr>
          <w:i/>
        </w:rPr>
        <w:t>Philosphy</w:t>
      </w:r>
      <w:proofErr w:type="spellEnd"/>
      <w:r>
        <w:rPr>
          <w:i/>
        </w:rPr>
        <w:t xml:space="preserve"> in Ancient Egypt</w:t>
      </w:r>
      <w:r>
        <w:t>, 89-102.</w:t>
      </w:r>
    </w:p>
    <w:p w14:paraId="6252496A" w14:textId="77777777" w:rsidR="00571357" w:rsidRPr="00AA0124" w:rsidRDefault="00571357" w:rsidP="004C6586">
      <w:pPr>
        <w:contextualSpacing/>
      </w:pPr>
    </w:p>
    <w:p w14:paraId="09D75CC6" w14:textId="77777777" w:rsidR="00571357" w:rsidRDefault="00AA0124" w:rsidP="004C6586">
      <w:pPr>
        <w:contextualSpacing/>
        <w:rPr>
          <w:b/>
        </w:rPr>
      </w:pPr>
      <w:r w:rsidRPr="003E51A8">
        <w:rPr>
          <w:b/>
        </w:rPr>
        <w:t xml:space="preserve">Week </w:t>
      </w:r>
      <w:r w:rsidR="00FB083A">
        <w:rPr>
          <w:b/>
        </w:rPr>
        <w:t xml:space="preserve">6: </w:t>
      </w:r>
      <w:r w:rsidR="00571357" w:rsidRPr="003E51A8">
        <w:rPr>
          <w:b/>
        </w:rPr>
        <w:t>The principles of Amarna Art</w:t>
      </w:r>
    </w:p>
    <w:p w14:paraId="4B3141A3" w14:textId="3BAFD9DD" w:rsidR="0066303C" w:rsidRPr="003E51A8" w:rsidRDefault="0066303C" w:rsidP="004C6586">
      <w:pPr>
        <w:contextualSpacing/>
        <w:rPr>
          <w:b/>
        </w:rPr>
      </w:pPr>
      <w:r>
        <w:rPr>
          <w:b/>
        </w:rPr>
        <w:t>February 24 and 26</w:t>
      </w:r>
    </w:p>
    <w:p w14:paraId="260ED5AC" w14:textId="77777777" w:rsidR="00FB083A" w:rsidRPr="00A04DF2" w:rsidRDefault="00FB083A" w:rsidP="004C6586">
      <w:pPr>
        <w:contextualSpacing/>
      </w:pPr>
      <w:r>
        <w:t>Readings:</w:t>
      </w:r>
    </w:p>
    <w:p w14:paraId="2227F4BD" w14:textId="77777777" w:rsidR="009A4812" w:rsidRDefault="00FB083A" w:rsidP="004C6586">
      <w:pPr>
        <w:contextualSpacing/>
      </w:pPr>
      <w:r>
        <w:t>Freed et al</w:t>
      </w:r>
      <w:r w:rsidR="00571357">
        <w:t xml:space="preserve">., </w:t>
      </w:r>
      <w:r w:rsidR="00571357">
        <w:rPr>
          <w:rStyle w:val="Emphasis"/>
        </w:rPr>
        <w:t>Pharaohs of the sun: Akhenaten, Nefertiti, Tutankhamun</w:t>
      </w:r>
      <w:r w:rsidR="00571357">
        <w:t xml:space="preserve">. Boston: Museum of Fine Arts, </w:t>
      </w:r>
      <w:r w:rsidR="00931FE0">
        <w:t>38</w:t>
      </w:r>
      <w:r w:rsidR="00B904A2">
        <w:t>-1</w:t>
      </w:r>
      <w:r w:rsidR="0011436D">
        <w:t>97.</w:t>
      </w:r>
    </w:p>
    <w:p w14:paraId="71E4B48C" w14:textId="77777777" w:rsidR="009A4812" w:rsidRPr="009A4812" w:rsidRDefault="009A4812" w:rsidP="004C6586">
      <w:pPr>
        <w:contextualSpacing/>
      </w:pPr>
      <w:proofErr w:type="spellStart"/>
      <w:r>
        <w:t>Aldred</w:t>
      </w:r>
      <w:proofErr w:type="spellEnd"/>
      <w:r>
        <w:t xml:space="preserve"> </w:t>
      </w:r>
      <w:r>
        <w:rPr>
          <w:i/>
        </w:rPr>
        <w:t>Akhenaten, King of Egypt</w:t>
      </w:r>
      <w:r>
        <w:t>, 273-312.</w:t>
      </w:r>
    </w:p>
    <w:p w14:paraId="6DEF6068" w14:textId="77777777" w:rsidR="0011436D" w:rsidRPr="009A4812" w:rsidRDefault="009A4812" w:rsidP="004C6586">
      <w:pPr>
        <w:contextualSpacing/>
      </w:pPr>
      <w:proofErr w:type="spellStart"/>
      <w:r>
        <w:t>Braverman</w:t>
      </w:r>
      <w:proofErr w:type="spellEnd"/>
      <w:r>
        <w:t xml:space="preserve"> et al., “Akhenaten and the Strange Physiques of Egypt’s 18</w:t>
      </w:r>
      <w:r w:rsidRPr="009A4812">
        <w:rPr>
          <w:vertAlign w:val="superscript"/>
        </w:rPr>
        <w:t>th</w:t>
      </w:r>
      <w:r>
        <w:t xml:space="preserve"> Dynasty” in </w:t>
      </w:r>
      <w:r>
        <w:rPr>
          <w:i/>
        </w:rPr>
        <w:t>Annals of Internal Medicine</w:t>
      </w:r>
      <w:r>
        <w:t>, 2009 (150.8), 556-560</w:t>
      </w:r>
    </w:p>
    <w:p w14:paraId="1352783C" w14:textId="77777777" w:rsidR="00D85DB1" w:rsidRDefault="0011436D" w:rsidP="004C6586">
      <w:pPr>
        <w:contextualSpacing/>
      </w:pPr>
      <w:r>
        <w:t>Smith</w:t>
      </w:r>
      <w:r w:rsidR="00B904A2">
        <w:t>,</w:t>
      </w:r>
      <w:r>
        <w:t xml:space="preserve"> </w:t>
      </w:r>
      <w:proofErr w:type="gramStart"/>
      <w:r>
        <w:rPr>
          <w:i/>
        </w:rPr>
        <w:t>The</w:t>
      </w:r>
      <w:proofErr w:type="gramEnd"/>
      <w:r>
        <w:rPr>
          <w:i/>
        </w:rPr>
        <w:t xml:space="preserve"> Art and Architecture of Ancient Egypt</w:t>
      </w:r>
      <w:r>
        <w:t>, 170-94</w:t>
      </w:r>
    </w:p>
    <w:p w14:paraId="5DDB526A" w14:textId="77777777" w:rsidR="00B904A2" w:rsidRDefault="00D85DB1" w:rsidP="004C6586">
      <w:pPr>
        <w:contextualSpacing/>
      </w:pPr>
      <w:r>
        <w:t>Robins</w:t>
      </w:r>
      <w:r w:rsidR="00B904A2">
        <w:t>,</w:t>
      </w:r>
      <w:r>
        <w:t xml:space="preserve"> “the Representation of Sexual Characteristics in Amarna Art” </w:t>
      </w:r>
      <w:r>
        <w:rPr>
          <w:i/>
        </w:rPr>
        <w:t>JSSEA</w:t>
      </w:r>
      <w:r>
        <w:t xml:space="preserve"> 1993, 29-41</w:t>
      </w:r>
    </w:p>
    <w:p w14:paraId="41F58453" w14:textId="77777777" w:rsidR="00B904A2" w:rsidRDefault="00B904A2" w:rsidP="004C6586">
      <w:pPr>
        <w:contextualSpacing/>
      </w:pPr>
      <w:proofErr w:type="spellStart"/>
      <w:r>
        <w:t>Kosloff</w:t>
      </w:r>
      <w:proofErr w:type="spellEnd"/>
      <w:r>
        <w:t xml:space="preserve">, “The </w:t>
      </w:r>
      <w:proofErr w:type="spellStart"/>
      <w:r>
        <w:t>Malqata</w:t>
      </w:r>
      <w:proofErr w:type="spellEnd"/>
      <w:r>
        <w:t>/El-</w:t>
      </w:r>
      <w:r w:rsidRPr="00B904A2">
        <w:rPr>
          <w:rStyle w:val="Strong"/>
          <w:b w:val="0"/>
        </w:rPr>
        <w:t>Amarna</w:t>
      </w:r>
      <w:r>
        <w:t xml:space="preserve"> Blues: </w:t>
      </w:r>
      <w:proofErr w:type="spellStart"/>
      <w:r>
        <w:t>Favourite</w:t>
      </w:r>
      <w:proofErr w:type="spellEnd"/>
      <w:r>
        <w:t xml:space="preserve"> </w:t>
      </w:r>
      <w:proofErr w:type="spellStart"/>
      <w:r>
        <w:t>Colours</w:t>
      </w:r>
      <w:proofErr w:type="spellEnd"/>
      <w:r>
        <w:t xml:space="preserve"> of Kings and Gods” in </w:t>
      </w:r>
      <w:r>
        <w:rPr>
          <w:i/>
        </w:rPr>
        <w:t>Chief of Seers</w:t>
      </w:r>
      <w:r>
        <w:t>, 178-92</w:t>
      </w:r>
    </w:p>
    <w:p w14:paraId="02E23980" w14:textId="77777777" w:rsidR="00357E46" w:rsidRPr="00B904A2" w:rsidRDefault="00B904A2" w:rsidP="004C6586">
      <w:pPr>
        <w:contextualSpacing/>
      </w:pPr>
      <w:r>
        <w:t xml:space="preserve">Reeves </w:t>
      </w:r>
      <w:r>
        <w:rPr>
          <w:i/>
        </w:rPr>
        <w:t>Akhenaten, Egypt’s False Prophet</w:t>
      </w:r>
      <w:r>
        <w:t>, 37-</w:t>
      </w:r>
      <w:r w:rsidR="00AA6E92">
        <w:t>84</w:t>
      </w:r>
    </w:p>
    <w:p w14:paraId="3BC492B5" w14:textId="77777777" w:rsidR="00571357" w:rsidRPr="00D85DB1" w:rsidRDefault="00571357" w:rsidP="004C6586">
      <w:pPr>
        <w:contextualSpacing/>
      </w:pPr>
    </w:p>
    <w:p w14:paraId="5F7E2C66" w14:textId="3156FF56" w:rsidR="00D85DB1" w:rsidRDefault="00AA0124" w:rsidP="004C6586">
      <w:pPr>
        <w:contextualSpacing/>
        <w:rPr>
          <w:b/>
        </w:rPr>
      </w:pPr>
      <w:r w:rsidRPr="003E51A8">
        <w:rPr>
          <w:b/>
        </w:rPr>
        <w:t xml:space="preserve">Week </w:t>
      </w:r>
      <w:r w:rsidR="00FB083A">
        <w:rPr>
          <w:b/>
        </w:rPr>
        <w:t xml:space="preserve">7: </w:t>
      </w:r>
      <w:r w:rsidR="00581C41">
        <w:rPr>
          <w:b/>
        </w:rPr>
        <w:t>MIDTERM EXAM</w:t>
      </w:r>
      <w:r w:rsidR="0066303C">
        <w:rPr>
          <w:b/>
        </w:rPr>
        <w:t xml:space="preserve"> – March 3</w:t>
      </w:r>
    </w:p>
    <w:p w14:paraId="41E61234" w14:textId="07492506" w:rsidR="0066303C" w:rsidRPr="0066303C" w:rsidRDefault="0066303C" w:rsidP="004C6586">
      <w:pPr>
        <w:contextualSpacing/>
        <w:rPr>
          <w:b/>
        </w:rPr>
      </w:pPr>
      <w:r w:rsidRPr="003E51A8">
        <w:rPr>
          <w:b/>
        </w:rPr>
        <w:t>Women in the Amarna Period</w:t>
      </w:r>
      <w:r>
        <w:t xml:space="preserve"> </w:t>
      </w:r>
      <w:r w:rsidRPr="0066303C">
        <w:rPr>
          <w:b/>
        </w:rPr>
        <w:t>– March 5</w:t>
      </w:r>
    </w:p>
    <w:p w14:paraId="067A1B4D" w14:textId="32553F84" w:rsidR="00817287" w:rsidRPr="0066303C" w:rsidRDefault="00FB083A" w:rsidP="004C6586">
      <w:pPr>
        <w:contextualSpacing/>
      </w:pPr>
      <w:r w:rsidRPr="0066303C">
        <w:t>Readings:</w:t>
      </w:r>
    </w:p>
    <w:p w14:paraId="15760F13" w14:textId="77777777" w:rsidR="00FB083A" w:rsidRPr="00817287" w:rsidRDefault="00817287" w:rsidP="004C6586">
      <w:pPr>
        <w:contextualSpacing/>
      </w:pPr>
      <w:r>
        <w:t>Robins</w:t>
      </w:r>
      <w:r>
        <w:rPr>
          <w:i/>
        </w:rPr>
        <w:t xml:space="preserve"> Women in Ancient Egypt</w:t>
      </w:r>
      <w:r>
        <w:t>, 21-55</w:t>
      </w:r>
    </w:p>
    <w:p w14:paraId="6D2D04EC" w14:textId="77777777" w:rsidR="00B904A2" w:rsidRDefault="00D85DB1" w:rsidP="004C6586">
      <w:pPr>
        <w:contextualSpacing/>
      </w:pPr>
      <w:r>
        <w:t xml:space="preserve">Reeves “The Royal Family” in Freed et al., </w:t>
      </w:r>
      <w:r w:rsidR="00357E46">
        <w:t>81-96</w:t>
      </w:r>
    </w:p>
    <w:p w14:paraId="7322B456" w14:textId="77777777" w:rsidR="00D85DB1" w:rsidRPr="00B904A2" w:rsidRDefault="00B904A2" w:rsidP="004C6586">
      <w:pPr>
        <w:contextualSpacing/>
      </w:pPr>
      <w:r>
        <w:t xml:space="preserve">Sampson, J. </w:t>
      </w:r>
      <w:r>
        <w:rPr>
          <w:i/>
        </w:rPr>
        <w:t>Amarna, City of Akhenaten and Nefertiti: Nefertiti as Pharaoh,</w:t>
      </w:r>
      <w:r>
        <w:t xml:space="preserve"> 1-144</w:t>
      </w:r>
    </w:p>
    <w:p w14:paraId="156D48F2" w14:textId="77777777" w:rsidR="00D85DB1" w:rsidRDefault="00D85DB1" w:rsidP="004C6586">
      <w:pPr>
        <w:contextualSpacing/>
      </w:pPr>
      <w:r>
        <w:t xml:space="preserve">Reeves “New Light on </w:t>
      </w:r>
      <w:proofErr w:type="spellStart"/>
      <w:r>
        <w:t>Kiya</w:t>
      </w:r>
      <w:proofErr w:type="spellEnd"/>
      <w:r>
        <w:t xml:space="preserve"> from Texts in the British Museum” in </w:t>
      </w:r>
      <w:r>
        <w:rPr>
          <w:i/>
        </w:rPr>
        <w:t>JEA</w:t>
      </w:r>
      <w:r>
        <w:t xml:space="preserve"> 1988, 91-101</w:t>
      </w:r>
    </w:p>
    <w:p w14:paraId="1C942F94" w14:textId="77777777" w:rsidR="00817287" w:rsidRDefault="00D85DB1" w:rsidP="004C6586">
      <w:pPr>
        <w:contextualSpacing/>
      </w:pPr>
      <w:r>
        <w:t>Robins “</w:t>
      </w:r>
      <w:proofErr w:type="spellStart"/>
      <w:r>
        <w:rPr>
          <w:i/>
        </w:rPr>
        <w:t>hmt</w:t>
      </w:r>
      <w:proofErr w:type="spellEnd"/>
      <w:r>
        <w:rPr>
          <w:i/>
        </w:rPr>
        <w:t xml:space="preserve"> </w:t>
      </w:r>
      <w:proofErr w:type="spellStart"/>
      <w:r>
        <w:rPr>
          <w:i/>
        </w:rPr>
        <w:t>nsw</w:t>
      </w:r>
      <w:proofErr w:type="spellEnd"/>
      <w:r>
        <w:rPr>
          <w:i/>
        </w:rPr>
        <w:t xml:space="preserve"> </w:t>
      </w:r>
      <w:proofErr w:type="spellStart"/>
      <w:r>
        <w:rPr>
          <w:i/>
        </w:rPr>
        <w:t>wrt</w:t>
      </w:r>
      <w:proofErr w:type="spellEnd"/>
      <w:r>
        <w:t xml:space="preserve"> </w:t>
      </w:r>
      <w:proofErr w:type="spellStart"/>
      <w:r>
        <w:t>Meritaton</w:t>
      </w:r>
      <w:proofErr w:type="spellEnd"/>
      <w:r>
        <w:t xml:space="preserve">” in </w:t>
      </w:r>
      <w:r>
        <w:rPr>
          <w:i/>
        </w:rPr>
        <w:t>GM</w:t>
      </w:r>
      <w:r>
        <w:t xml:space="preserve"> 1981, 75-81</w:t>
      </w:r>
    </w:p>
    <w:p w14:paraId="7BF1F510" w14:textId="77777777" w:rsidR="00357E46" w:rsidRDefault="00817287" w:rsidP="004C6586">
      <w:pPr>
        <w:contextualSpacing/>
      </w:pPr>
      <w:proofErr w:type="spellStart"/>
      <w:r>
        <w:t>Murnane</w:t>
      </w:r>
      <w:proofErr w:type="spellEnd"/>
      <w:r>
        <w:t>, 45</w:t>
      </w:r>
    </w:p>
    <w:p w14:paraId="0C535EC7" w14:textId="77777777" w:rsidR="003A74E2" w:rsidRDefault="00357E46" w:rsidP="004C6586">
      <w:pPr>
        <w:contextualSpacing/>
      </w:pPr>
      <w:r>
        <w:rPr>
          <w:i/>
        </w:rPr>
        <w:t>Royal Women of Amarna: Images of Beauty from Ancient Egypt</w:t>
      </w:r>
      <w:r w:rsidR="00817287">
        <w:t xml:space="preserve">, </w:t>
      </w:r>
      <w:r w:rsidR="00AA6E92">
        <w:t>6</w:t>
      </w:r>
      <w:r w:rsidR="00817287">
        <w:t>-41</w:t>
      </w:r>
    </w:p>
    <w:p w14:paraId="7567A46C" w14:textId="77777777" w:rsidR="00571357" w:rsidRPr="00D85DB1" w:rsidRDefault="00571357" w:rsidP="004C6586">
      <w:pPr>
        <w:contextualSpacing/>
      </w:pPr>
    </w:p>
    <w:p w14:paraId="241BC2EA" w14:textId="77777777" w:rsidR="00581C41" w:rsidRDefault="00AA0124" w:rsidP="004C6586">
      <w:pPr>
        <w:contextualSpacing/>
        <w:rPr>
          <w:b/>
        </w:rPr>
      </w:pPr>
      <w:r w:rsidRPr="003E51A8">
        <w:rPr>
          <w:b/>
        </w:rPr>
        <w:t xml:space="preserve">Week </w:t>
      </w:r>
      <w:r w:rsidR="00FB083A">
        <w:rPr>
          <w:b/>
        </w:rPr>
        <w:t xml:space="preserve">8: </w:t>
      </w:r>
      <w:r w:rsidR="00544850" w:rsidRPr="003E51A8">
        <w:rPr>
          <w:b/>
        </w:rPr>
        <w:t xml:space="preserve">Geography and city layout 1: </w:t>
      </w:r>
      <w:r w:rsidR="00D51E63">
        <w:rPr>
          <w:b/>
        </w:rPr>
        <w:t xml:space="preserve">Boundary Stelae and </w:t>
      </w:r>
      <w:r w:rsidR="00571357" w:rsidRPr="003E51A8">
        <w:rPr>
          <w:b/>
        </w:rPr>
        <w:t>Temples at Amarna</w:t>
      </w:r>
    </w:p>
    <w:p w14:paraId="1C1E172C" w14:textId="2A5702BF" w:rsidR="0066303C" w:rsidRDefault="006B428F" w:rsidP="004C6586">
      <w:pPr>
        <w:contextualSpacing/>
        <w:rPr>
          <w:b/>
        </w:rPr>
      </w:pPr>
      <w:r>
        <w:rPr>
          <w:b/>
        </w:rPr>
        <w:t>March 10 and 12</w:t>
      </w:r>
    </w:p>
    <w:p w14:paraId="58115243" w14:textId="77777777" w:rsidR="00FB083A" w:rsidRPr="00A04DF2" w:rsidRDefault="00FB083A" w:rsidP="004C6586">
      <w:pPr>
        <w:contextualSpacing/>
      </w:pPr>
      <w:r>
        <w:t>Readings:</w:t>
      </w:r>
    </w:p>
    <w:p w14:paraId="2B8DCA94" w14:textId="77777777" w:rsidR="00EB4B5E" w:rsidRDefault="003A74E2" w:rsidP="004C6586">
      <w:pPr>
        <w:contextualSpacing/>
      </w:pPr>
      <w:proofErr w:type="spellStart"/>
      <w:r>
        <w:t>Murnane</w:t>
      </w:r>
      <w:proofErr w:type="spellEnd"/>
      <w:r>
        <w:t>, 37, 38 (p. 73-86)</w:t>
      </w:r>
    </w:p>
    <w:p w14:paraId="79A15B5D" w14:textId="77777777" w:rsidR="003A74E2" w:rsidRPr="00EB4B5E" w:rsidRDefault="00EB4B5E" w:rsidP="004C6586">
      <w:pPr>
        <w:contextualSpacing/>
      </w:pPr>
      <w:proofErr w:type="spellStart"/>
      <w:r>
        <w:t>Murnane</w:t>
      </w:r>
      <w:proofErr w:type="spellEnd"/>
      <w:r>
        <w:t xml:space="preserve"> and Van </w:t>
      </w:r>
      <w:proofErr w:type="spellStart"/>
      <w:r>
        <w:t>Siclen</w:t>
      </w:r>
      <w:proofErr w:type="spellEnd"/>
      <w:r>
        <w:t xml:space="preserve"> </w:t>
      </w:r>
      <w:proofErr w:type="gramStart"/>
      <w:r>
        <w:rPr>
          <w:i/>
        </w:rPr>
        <w:t>The</w:t>
      </w:r>
      <w:proofErr w:type="gramEnd"/>
      <w:r>
        <w:rPr>
          <w:i/>
        </w:rPr>
        <w:t xml:space="preserve"> Boundary Stelae of Akhenaten</w:t>
      </w:r>
      <w:r w:rsidR="000831E8">
        <w:t>, 1-10, 111-82</w:t>
      </w:r>
    </w:p>
    <w:p w14:paraId="3E3B098E" w14:textId="77777777" w:rsidR="003A74E2" w:rsidRDefault="0011436D" w:rsidP="004C6586">
      <w:pPr>
        <w:contextualSpacing/>
      </w:pPr>
      <w:proofErr w:type="spellStart"/>
      <w:r>
        <w:t>Mallinson</w:t>
      </w:r>
      <w:proofErr w:type="spellEnd"/>
      <w:r>
        <w:t>, “The sacred landscape” in</w:t>
      </w:r>
      <w:r w:rsidR="00544850">
        <w:t xml:space="preserve"> Freed</w:t>
      </w:r>
      <w:r>
        <w:t xml:space="preserve"> et al.</w:t>
      </w:r>
      <w:r w:rsidR="00544850">
        <w:t>, 72–9.</w:t>
      </w:r>
    </w:p>
    <w:p w14:paraId="7C190B47" w14:textId="10801082" w:rsidR="004C6586" w:rsidRPr="00F37BAE" w:rsidRDefault="000B0570" w:rsidP="004C6586">
      <w:pPr>
        <w:contextualSpacing/>
        <w:rPr>
          <w:color w:val="FF0000"/>
        </w:rPr>
      </w:pPr>
      <w:r>
        <w:t>Kemp Chapters 2 and 3</w:t>
      </w:r>
    </w:p>
    <w:p w14:paraId="67D2A504" w14:textId="77777777" w:rsidR="00571357" w:rsidRDefault="00571357" w:rsidP="004C6586">
      <w:pPr>
        <w:contextualSpacing/>
      </w:pPr>
    </w:p>
    <w:p w14:paraId="17117EF8" w14:textId="77777777" w:rsidR="00581C41" w:rsidRDefault="00AA0124" w:rsidP="004C6586">
      <w:pPr>
        <w:contextualSpacing/>
        <w:rPr>
          <w:b/>
        </w:rPr>
      </w:pPr>
      <w:r w:rsidRPr="003E51A8">
        <w:rPr>
          <w:b/>
        </w:rPr>
        <w:t xml:space="preserve">Week </w:t>
      </w:r>
      <w:r w:rsidR="00FB083A">
        <w:rPr>
          <w:b/>
        </w:rPr>
        <w:t xml:space="preserve">9: </w:t>
      </w:r>
      <w:r w:rsidR="00544850" w:rsidRPr="003E51A8">
        <w:rPr>
          <w:b/>
        </w:rPr>
        <w:t xml:space="preserve">Geography and City Layout 2: </w:t>
      </w:r>
      <w:r w:rsidR="00571357" w:rsidRPr="003E51A8">
        <w:rPr>
          <w:b/>
        </w:rPr>
        <w:t>Palaces at Amarna</w:t>
      </w:r>
    </w:p>
    <w:p w14:paraId="67111879" w14:textId="15E4D7EA" w:rsidR="006B428F" w:rsidRDefault="006B428F" w:rsidP="004C6586">
      <w:pPr>
        <w:contextualSpacing/>
        <w:rPr>
          <w:b/>
        </w:rPr>
      </w:pPr>
      <w:r>
        <w:rPr>
          <w:b/>
        </w:rPr>
        <w:lastRenderedPageBreak/>
        <w:t>March 17 and 19</w:t>
      </w:r>
    </w:p>
    <w:p w14:paraId="2FFE4AD4" w14:textId="77777777" w:rsidR="00CE37AC" w:rsidRDefault="00CE37AC" w:rsidP="004C6586">
      <w:pPr>
        <w:contextualSpacing/>
        <w:rPr>
          <w:b/>
        </w:rPr>
      </w:pPr>
    </w:p>
    <w:p w14:paraId="1540B4E1" w14:textId="073BEC73" w:rsidR="00581C41" w:rsidRPr="003E51A8" w:rsidRDefault="00581C41" w:rsidP="004C6586">
      <w:pPr>
        <w:contextualSpacing/>
        <w:rPr>
          <w:b/>
        </w:rPr>
      </w:pPr>
      <w:r>
        <w:rPr>
          <w:b/>
        </w:rPr>
        <w:t>PAPER TOPIC AND BIBLIOGRAPHY DUE</w:t>
      </w:r>
      <w:r w:rsidR="006B428F">
        <w:rPr>
          <w:b/>
        </w:rPr>
        <w:t xml:space="preserve"> March 19</w:t>
      </w:r>
    </w:p>
    <w:p w14:paraId="6E67EBD6" w14:textId="77777777" w:rsidR="00B04A98" w:rsidRDefault="00B04A98" w:rsidP="004C6586">
      <w:pPr>
        <w:contextualSpacing/>
        <w:rPr>
          <w:b/>
        </w:rPr>
      </w:pPr>
    </w:p>
    <w:p w14:paraId="23CF5140" w14:textId="77777777" w:rsidR="00FB083A" w:rsidRDefault="00FB083A" w:rsidP="004C6586">
      <w:pPr>
        <w:contextualSpacing/>
      </w:pPr>
      <w:r>
        <w:t>Readings:</w:t>
      </w:r>
    </w:p>
    <w:p w14:paraId="1BFB2B4D" w14:textId="09976650" w:rsidR="004C48AF" w:rsidRPr="00A04DF2" w:rsidRDefault="004C48AF" w:rsidP="004C6586">
      <w:pPr>
        <w:contextualSpacing/>
      </w:pPr>
      <w:r>
        <w:t>Kemp Chapter 4</w:t>
      </w:r>
    </w:p>
    <w:p w14:paraId="636CDC4A" w14:textId="77777777" w:rsidR="00D51E63" w:rsidRDefault="00D51E63" w:rsidP="004C6586">
      <w:pPr>
        <w:contextualSpacing/>
      </w:pPr>
      <w:r>
        <w:t>O’Connor</w:t>
      </w:r>
      <w:r w:rsidR="00B04A98">
        <w:t xml:space="preserve"> “Beloved of Maat, the Horizon of Re” in </w:t>
      </w:r>
      <w:r w:rsidR="00B04A98">
        <w:rPr>
          <w:i/>
        </w:rPr>
        <w:t>Ancient Egyptian Kingship</w:t>
      </w:r>
      <w:r w:rsidR="00B04A98">
        <w:t>, 263-</w:t>
      </w:r>
      <w:r>
        <w:t xml:space="preserve">300 </w:t>
      </w:r>
    </w:p>
    <w:p w14:paraId="624BED21" w14:textId="77777777" w:rsidR="00B04A98" w:rsidRDefault="00B04A98" w:rsidP="004C6586">
      <w:pPr>
        <w:contextualSpacing/>
      </w:pPr>
      <w:r>
        <w:t xml:space="preserve">Spence, K., 1999. </w:t>
      </w:r>
      <w:r w:rsidR="00D44552">
        <w:t>“</w:t>
      </w:r>
      <w:r>
        <w:t>The North Palace at Amarna</w:t>
      </w:r>
      <w:r w:rsidR="00D44552">
        <w:t>”</w:t>
      </w:r>
      <w:r>
        <w:t xml:space="preserve">. </w:t>
      </w:r>
      <w:r>
        <w:rPr>
          <w:rStyle w:val="Emphasis"/>
        </w:rPr>
        <w:t>Egyptian Archaeology</w:t>
      </w:r>
      <w:r>
        <w:t xml:space="preserve"> 15, 14–16.</w:t>
      </w:r>
    </w:p>
    <w:p w14:paraId="269D052F" w14:textId="77777777" w:rsidR="004C6586" w:rsidRDefault="00B04A98" w:rsidP="004C6586">
      <w:pPr>
        <w:contextualSpacing/>
      </w:pPr>
      <w:r>
        <w:t xml:space="preserve">Kemp “The Window of Appearance at el-Amarna and the basic structure of this city” in </w:t>
      </w:r>
      <w:r>
        <w:rPr>
          <w:i/>
        </w:rPr>
        <w:t xml:space="preserve">JEA </w:t>
      </w:r>
      <w:r>
        <w:t>1976, 81-99.</w:t>
      </w:r>
    </w:p>
    <w:p w14:paraId="70DCAF9E" w14:textId="77777777" w:rsidR="00515C75" w:rsidRPr="004C6586" w:rsidRDefault="00D1572E" w:rsidP="004C6586">
      <w:pPr>
        <w:contextualSpacing/>
      </w:pPr>
      <w:r>
        <w:t xml:space="preserve">Kemp, B.J., 2000. Bricks and metaphor. </w:t>
      </w:r>
      <w:r>
        <w:rPr>
          <w:rStyle w:val="Emphasis"/>
        </w:rPr>
        <w:t>Cambridge Archaeological Journal</w:t>
      </w:r>
      <w:r>
        <w:t xml:space="preserve"> 10, 335–46.</w:t>
      </w:r>
    </w:p>
    <w:p w14:paraId="5D4A2E8B" w14:textId="77777777" w:rsidR="00515C75" w:rsidRDefault="00515C75" w:rsidP="004C6586">
      <w:pPr>
        <w:contextualSpacing/>
      </w:pPr>
    </w:p>
    <w:p w14:paraId="01E864F0" w14:textId="77777777" w:rsidR="00571357" w:rsidRDefault="00AA0124" w:rsidP="004C6586">
      <w:pPr>
        <w:contextualSpacing/>
        <w:rPr>
          <w:b/>
        </w:rPr>
      </w:pPr>
      <w:r w:rsidRPr="003E51A8">
        <w:rPr>
          <w:b/>
        </w:rPr>
        <w:t xml:space="preserve">Week </w:t>
      </w:r>
      <w:r w:rsidR="00571357" w:rsidRPr="003E51A8">
        <w:rPr>
          <w:b/>
        </w:rPr>
        <w:t>1</w:t>
      </w:r>
      <w:r w:rsidR="00515C75" w:rsidRPr="003E51A8">
        <w:rPr>
          <w:b/>
        </w:rPr>
        <w:t>0</w:t>
      </w:r>
      <w:r w:rsidR="00FB083A">
        <w:rPr>
          <w:b/>
        </w:rPr>
        <w:t xml:space="preserve">: </w:t>
      </w:r>
      <w:proofErr w:type="spellStart"/>
      <w:r w:rsidR="00544850" w:rsidRPr="003E51A8">
        <w:rPr>
          <w:b/>
        </w:rPr>
        <w:t>Geogrpahy</w:t>
      </w:r>
      <w:proofErr w:type="spellEnd"/>
      <w:r w:rsidR="00544850" w:rsidRPr="003E51A8">
        <w:rPr>
          <w:b/>
        </w:rPr>
        <w:t xml:space="preserve"> and City Layout 3: </w:t>
      </w:r>
      <w:r w:rsidR="00571357" w:rsidRPr="003E51A8">
        <w:rPr>
          <w:b/>
        </w:rPr>
        <w:t>Domestic space and non-royal constructions at Amarna</w:t>
      </w:r>
    </w:p>
    <w:p w14:paraId="20EAB359" w14:textId="66EF2051" w:rsidR="006B428F" w:rsidRPr="003E51A8" w:rsidRDefault="006B428F" w:rsidP="004C6586">
      <w:pPr>
        <w:contextualSpacing/>
        <w:rPr>
          <w:b/>
        </w:rPr>
      </w:pPr>
      <w:r>
        <w:rPr>
          <w:b/>
        </w:rPr>
        <w:t>March 31 and April 2</w:t>
      </w:r>
    </w:p>
    <w:p w14:paraId="4B7507E1" w14:textId="77777777" w:rsidR="00AA6E92" w:rsidRDefault="00FB083A" w:rsidP="004C6586">
      <w:pPr>
        <w:contextualSpacing/>
      </w:pPr>
      <w:r>
        <w:t>Readings:</w:t>
      </w:r>
    </w:p>
    <w:p w14:paraId="2E2A62B1" w14:textId="2B18DFFE" w:rsidR="004C48AF" w:rsidRDefault="004C48AF" w:rsidP="004C6586">
      <w:pPr>
        <w:contextualSpacing/>
      </w:pPr>
      <w:r>
        <w:t>Kemp Chapter 5</w:t>
      </w:r>
    </w:p>
    <w:p w14:paraId="63BC2186" w14:textId="77777777" w:rsidR="00EB4B5E" w:rsidRDefault="00AA6E92" w:rsidP="00EB4B5E">
      <w:pPr>
        <w:contextualSpacing/>
        <w:rPr>
          <w:rFonts w:cs="Times New Roman"/>
        </w:rPr>
      </w:pPr>
      <w:r>
        <w:rPr>
          <w:rFonts w:cs="Times New Roman"/>
        </w:rPr>
        <w:t xml:space="preserve">Troy, Lana.  “Resource Management and Ideological Manifestation. The Towns and Cities of Ancient Egypt.” In </w:t>
      </w:r>
      <w:r>
        <w:rPr>
          <w:rFonts w:cs="Times New Roman"/>
          <w:i/>
        </w:rPr>
        <w:t>The Development of Urbanism from a Global Perspective</w:t>
      </w:r>
      <w:r>
        <w:rPr>
          <w:rFonts w:cs="Times New Roman"/>
        </w:rPr>
        <w:t>. 107-132</w:t>
      </w:r>
    </w:p>
    <w:p w14:paraId="435EF9E8" w14:textId="77777777" w:rsidR="00EB4B5E" w:rsidRDefault="00EB4B5E" w:rsidP="00EB4B5E">
      <w:pPr>
        <w:contextualSpacing/>
        <w:rPr>
          <w:rFonts w:cs="Times New Roman"/>
        </w:rPr>
      </w:pPr>
      <w:r w:rsidRPr="00BA7266">
        <w:rPr>
          <w:rFonts w:cs="Times New Roman"/>
        </w:rPr>
        <w:t xml:space="preserve">Arnold, Felix. "A Study of Egyptian Domestic Buildings." </w:t>
      </w:r>
      <w:r w:rsidRPr="00BA7266">
        <w:rPr>
          <w:rFonts w:cs="Times New Roman"/>
          <w:i/>
          <w:iCs/>
        </w:rPr>
        <w:t>VA</w:t>
      </w:r>
      <w:r w:rsidRPr="00BA7266">
        <w:rPr>
          <w:rFonts w:cs="Times New Roman"/>
        </w:rPr>
        <w:t xml:space="preserve"> 5 (1989): 75-93.</w:t>
      </w:r>
    </w:p>
    <w:p w14:paraId="2DA60629" w14:textId="77777777" w:rsidR="00571357" w:rsidRPr="00EB4B5E" w:rsidRDefault="00571357" w:rsidP="00EB4B5E">
      <w:pPr>
        <w:contextualSpacing/>
        <w:rPr>
          <w:rFonts w:cs="Times New Roman"/>
        </w:rPr>
      </w:pPr>
      <w:r w:rsidRPr="00571357">
        <w:t xml:space="preserve">Spence, K., 2004. </w:t>
      </w:r>
      <w:r w:rsidR="00D44552">
        <w:t>“</w:t>
      </w:r>
      <w:r w:rsidRPr="00571357">
        <w:t>The three-dimensional form of the Amarna house</w:t>
      </w:r>
      <w:r w:rsidR="00D44552">
        <w:t>”</w:t>
      </w:r>
      <w:r w:rsidRPr="00571357">
        <w:t xml:space="preserve">. </w:t>
      </w:r>
      <w:r w:rsidRPr="00571357">
        <w:rPr>
          <w:rStyle w:val="Emphasis"/>
        </w:rPr>
        <w:t>Journal of Egyptian Archaeology</w:t>
      </w:r>
      <w:r w:rsidRPr="00571357">
        <w:t xml:space="preserve"> 90, 123–5</w:t>
      </w:r>
      <w:r w:rsidR="00EB4B5E">
        <w:t>2</w:t>
      </w:r>
    </w:p>
    <w:p w14:paraId="5547144E" w14:textId="77777777" w:rsidR="00D51E63" w:rsidRDefault="00571357" w:rsidP="00EB4B5E">
      <w:pPr>
        <w:contextualSpacing/>
      </w:pPr>
      <w:r>
        <w:t xml:space="preserve">Stevens, A., 2003. </w:t>
      </w:r>
      <w:r w:rsidR="00D44552">
        <w:t>“</w:t>
      </w:r>
      <w:r>
        <w:t>The material evidence for domestic religion at Amarna and preliminary remarks on its interpretation</w:t>
      </w:r>
      <w:r w:rsidR="00D44552">
        <w:t>”</w:t>
      </w:r>
      <w:r>
        <w:t xml:space="preserve">. </w:t>
      </w:r>
      <w:r>
        <w:rPr>
          <w:rStyle w:val="Emphasis"/>
        </w:rPr>
        <w:t xml:space="preserve">Journal of Egyptian Archaeology </w:t>
      </w:r>
      <w:r>
        <w:t>89, 143–68.</w:t>
      </w:r>
    </w:p>
    <w:p w14:paraId="22E2E422" w14:textId="77777777" w:rsidR="00571357" w:rsidRPr="00D51E63" w:rsidRDefault="00D51E63" w:rsidP="00EB4B5E">
      <w:pPr>
        <w:contextualSpacing/>
      </w:pPr>
      <w:proofErr w:type="spellStart"/>
      <w:r>
        <w:t>Ikram</w:t>
      </w:r>
      <w:proofErr w:type="spellEnd"/>
      <w:r>
        <w:t xml:space="preserve"> “Domestic Shrines and the Cult of the Royal Family at Amarna” </w:t>
      </w:r>
      <w:r>
        <w:rPr>
          <w:i/>
        </w:rPr>
        <w:t xml:space="preserve">JEA </w:t>
      </w:r>
      <w:r>
        <w:t>1989, 89-101</w:t>
      </w:r>
    </w:p>
    <w:p w14:paraId="75DD934E" w14:textId="77777777" w:rsidR="00544850" w:rsidRDefault="00544850" w:rsidP="00EB4B5E">
      <w:pPr>
        <w:contextualSpacing/>
      </w:pPr>
    </w:p>
    <w:p w14:paraId="5069064E" w14:textId="7D5DCAD1" w:rsidR="00581C41" w:rsidRDefault="00AA0124" w:rsidP="00EB4B5E">
      <w:pPr>
        <w:contextualSpacing/>
        <w:rPr>
          <w:b/>
        </w:rPr>
      </w:pPr>
      <w:r w:rsidRPr="003E51A8">
        <w:rPr>
          <w:b/>
        </w:rPr>
        <w:t xml:space="preserve">Week </w:t>
      </w:r>
      <w:r w:rsidR="00FB083A">
        <w:rPr>
          <w:b/>
        </w:rPr>
        <w:t xml:space="preserve">11: </w:t>
      </w:r>
      <w:r w:rsidR="00544850" w:rsidRPr="003E51A8">
        <w:rPr>
          <w:b/>
        </w:rPr>
        <w:t>Military</w:t>
      </w:r>
      <w:r w:rsidR="00F37BAE">
        <w:rPr>
          <w:b/>
        </w:rPr>
        <w:t>,</w:t>
      </w:r>
      <w:r w:rsidR="00544850" w:rsidRPr="003E51A8">
        <w:rPr>
          <w:b/>
        </w:rPr>
        <w:t xml:space="preserve"> diplomacy</w:t>
      </w:r>
      <w:r w:rsidR="00F37BAE">
        <w:rPr>
          <w:b/>
        </w:rPr>
        <w:t>, and foreigners</w:t>
      </w:r>
      <w:r w:rsidR="00544850" w:rsidRPr="003E51A8">
        <w:rPr>
          <w:b/>
        </w:rPr>
        <w:t xml:space="preserve"> in the Amarna Period</w:t>
      </w:r>
      <w:r w:rsidR="00552420">
        <w:rPr>
          <w:b/>
        </w:rPr>
        <w:t xml:space="preserve"> </w:t>
      </w:r>
    </w:p>
    <w:p w14:paraId="7EB7AC19" w14:textId="675231C4" w:rsidR="006B428F" w:rsidRPr="00552420" w:rsidRDefault="006B428F" w:rsidP="00EB4B5E">
      <w:pPr>
        <w:contextualSpacing/>
        <w:rPr>
          <w:b/>
          <w:color w:val="FF0000"/>
        </w:rPr>
      </w:pPr>
      <w:r>
        <w:rPr>
          <w:b/>
        </w:rPr>
        <w:t>April 7 and 9</w:t>
      </w:r>
    </w:p>
    <w:p w14:paraId="6823B89F" w14:textId="77777777" w:rsidR="00FB083A" w:rsidRPr="00A04DF2" w:rsidRDefault="00FB083A" w:rsidP="004C6586">
      <w:pPr>
        <w:contextualSpacing/>
      </w:pPr>
      <w:r>
        <w:t>Readings:</w:t>
      </w:r>
    </w:p>
    <w:p w14:paraId="3D6EA73E" w14:textId="09BC1657" w:rsidR="004A5472" w:rsidRPr="004A5472" w:rsidRDefault="00544850" w:rsidP="004C6586">
      <w:pPr>
        <w:contextualSpacing/>
      </w:pPr>
      <w:r>
        <w:t xml:space="preserve">Moran </w:t>
      </w:r>
      <w:r>
        <w:rPr>
          <w:i/>
        </w:rPr>
        <w:t>Amarna Letters</w:t>
      </w:r>
      <w:r w:rsidR="004A5472">
        <w:t>, Introduction xiii-xxxix, and selections</w:t>
      </w:r>
      <w:r w:rsidR="00CE37AC">
        <w:t xml:space="preserve"> posted to Canvas</w:t>
      </w:r>
    </w:p>
    <w:p w14:paraId="5912DC8C" w14:textId="77777777" w:rsidR="00AA0124" w:rsidRDefault="00824A70" w:rsidP="004C6586">
      <w:pPr>
        <w:contextualSpacing/>
      </w:pPr>
      <w:r>
        <w:t xml:space="preserve">Dodson </w:t>
      </w:r>
      <w:r>
        <w:rPr>
          <w:i/>
        </w:rPr>
        <w:t>Amarna Sunset</w:t>
      </w:r>
      <w:r>
        <w:t xml:space="preserve"> 1-60</w:t>
      </w:r>
    </w:p>
    <w:p w14:paraId="43A3DDB2" w14:textId="77777777" w:rsidR="00AA0124" w:rsidRDefault="00D1572E" w:rsidP="004C6586">
      <w:pPr>
        <w:contextualSpacing/>
      </w:pPr>
      <w:r>
        <w:t>Cohen and Westbrook, eds.</w:t>
      </w:r>
      <w:r w:rsidR="00B8777A">
        <w:t xml:space="preserve"> </w:t>
      </w:r>
      <w:r w:rsidR="00B8777A">
        <w:rPr>
          <w:i/>
        </w:rPr>
        <w:t>Amarna Diplomacy</w:t>
      </w:r>
      <w:r w:rsidR="00B8777A">
        <w:t>, 1-</w:t>
      </w:r>
      <w:r>
        <w:t>53; 71-140</w:t>
      </w:r>
      <w:r w:rsidR="00B8777A">
        <w:t>.</w:t>
      </w:r>
    </w:p>
    <w:p w14:paraId="007CD2A7" w14:textId="77777777" w:rsidR="00AA0124" w:rsidRDefault="00AA0124" w:rsidP="004C6586">
      <w:pPr>
        <w:contextualSpacing/>
      </w:pPr>
      <w:r>
        <w:t xml:space="preserve">Darnell and </w:t>
      </w:r>
      <w:proofErr w:type="spellStart"/>
      <w:r>
        <w:t>Manassa</w:t>
      </w:r>
      <w:proofErr w:type="spellEnd"/>
      <w:r>
        <w:t xml:space="preserve"> </w:t>
      </w:r>
      <w:r>
        <w:rPr>
          <w:i/>
        </w:rPr>
        <w:t>Tutankhamun’s Armies</w:t>
      </w:r>
      <w:r>
        <w:t xml:space="preserve"> Chapter 5, 137-186 </w:t>
      </w:r>
    </w:p>
    <w:p w14:paraId="4FAA141A" w14:textId="77777777" w:rsidR="00571357" w:rsidRPr="00B8777A" w:rsidRDefault="00571357" w:rsidP="004C6586">
      <w:pPr>
        <w:contextualSpacing/>
      </w:pPr>
    </w:p>
    <w:p w14:paraId="4AD21591" w14:textId="77777777" w:rsidR="00E42F2D" w:rsidRDefault="00AA0124" w:rsidP="004C6586">
      <w:pPr>
        <w:contextualSpacing/>
        <w:rPr>
          <w:b/>
        </w:rPr>
      </w:pPr>
      <w:r w:rsidRPr="003E51A8">
        <w:rPr>
          <w:b/>
        </w:rPr>
        <w:t xml:space="preserve">Week </w:t>
      </w:r>
      <w:r w:rsidR="00FB083A">
        <w:rPr>
          <w:b/>
        </w:rPr>
        <w:t xml:space="preserve">12: </w:t>
      </w:r>
      <w:r w:rsidR="00571357" w:rsidRPr="003E51A8">
        <w:rPr>
          <w:b/>
        </w:rPr>
        <w:t xml:space="preserve">Funerary religion </w:t>
      </w:r>
      <w:r w:rsidR="00544850" w:rsidRPr="003E51A8">
        <w:rPr>
          <w:b/>
        </w:rPr>
        <w:t>during the Amarna Period</w:t>
      </w:r>
      <w:r w:rsidR="00552420">
        <w:rPr>
          <w:b/>
        </w:rPr>
        <w:t xml:space="preserve"> </w:t>
      </w:r>
    </w:p>
    <w:p w14:paraId="574C219D" w14:textId="1EB27614" w:rsidR="006B428F" w:rsidRDefault="006B428F" w:rsidP="004C6586">
      <w:pPr>
        <w:contextualSpacing/>
        <w:rPr>
          <w:b/>
          <w:color w:val="FF0000"/>
        </w:rPr>
      </w:pPr>
      <w:r>
        <w:rPr>
          <w:b/>
        </w:rPr>
        <w:t>April 14 and 16</w:t>
      </w:r>
    </w:p>
    <w:p w14:paraId="78924519" w14:textId="77777777" w:rsidR="00E42F2D" w:rsidRDefault="00E42F2D" w:rsidP="004C6586">
      <w:pPr>
        <w:contextualSpacing/>
        <w:rPr>
          <w:b/>
          <w:color w:val="FF0000"/>
        </w:rPr>
      </w:pPr>
    </w:p>
    <w:p w14:paraId="1E71BFBA" w14:textId="0FB1B876" w:rsidR="00581C41" w:rsidRPr="003E51A8" w:rsidRDefault="00581C41" w:rsidP="004C6586">
      <w:pPr>
        <w:contextualSpacing/>
        <w:rPr>
          <w:b/>
        </w:rPr>
      </w:pPr>
      <w:r>
        <w:rPr>
          <w:b/>
        </w:rPr>
        <w:t>FINAL PAPER DUE</w:t>
      </w:r>
      <w:r w:rsidR="00CE37AC">
        <w:rPr>
          <w:b/>
        </w:rPr>
        <w:t xml:space="preserve"> April 16</w:t>
      </w:r>
    </w:p>
    <w:p w14:paraId="0CD50EED" w14:textId="77777777" w:rsidR="00515C75" w:rsidRPr="003E51A8" w:rsidRDefault="00515C75" w:rsidP="004C6586">
      <w:pPr>
        <w:contextualSpacing/>
        <w:rPr>
          <w:b/>
        </w:rPr>
      </w:pPr>
    </w:p>
    <w:p w14:paraId="64AA5118" w14:textId="77777777" w:rsidR="00FB083A" w:rsidRPr="00A04DF2" w:rsidRDefault="00FB083A" w:rsidP="004C6586">
      <w:pPr>
        <w:contextualSpacing/>
      </w:pPr>
      <w:r>
        <w:t>Readings:</w:t>
      </w:r>
    </w:p>
    <w:p w14:paraId="74F5EBFE" w14:textId="77777777" w:rsidR="00B04A98" w:rsidRDefault="00B04A98" w:rsidP="004C6586">
      <w:pPr>
        <w:contextualSpacing/>
      </w:pPr>
      <w:r>
        <w:t xml:space="preserve">Martin </w:t>
      </w:r>
      <w:proofErr w:type="gramStart"/>
      <w:r>
        <w:rPr>
          <w:i/>
        </w:rPr>
        <w:t>The</w:t>
      </w:r>
      <w:proofErr w:type="gramEnd"/>
      <w:r>
        <w:rPr>
          <w:i/>
        </w:rPr>
        <w:t xml:space="preserve"> Royal Tomb at el-Amarna</w:t>
      </w:r>
      <w:r>
        <w:t>, selections</w:t>
      </w:r>
    </w:p>
    <w:p w14:paraId="2AA87BCC" w14:textId="1CA2005A" w:rsidR="00562232" w:rsidRPr="00B04A98" w:rsidRDefault="00562232" w:rsidP="004C6586">
      <w:pPr>
        <w:contextualSpacing/>
      </w:pPr>
      <w:r>
        <w:t>Kemp Chapter 7</w:t>
      </w:r>
    </w:p>
    <w:p w14:paraId="196B6D28" w14:textId="77777777" w:rsidR="00515C75" w:rsidRDefault="00515C75" w:rsidP="004C6586">
      <w:pPr>
        <w:contextualSpacing/>
      </w:pPr>
      <w:r>
        <w:t xml:space="preserve">Owen, G. and B. Kemp, 1994. Craftsmen's work patterns in unfinished tombs at Amarna. </w:t>
      </w:r>
      <w:r>
        <w:rPr>
          <w:rStyle w:val="Emphasis"/>
        </w:rPr>
        <w:t>Cambridge Archaeological Journal</w:t>
      </w:r>
      <w:r>
        <w:t xml:space="preserve"> 4, 121–9.</w:t>
      </w:r>
    </w:p>
    <w:p w14:paraId="49475100" w14:textId="77777777" w:rsidR="003A74E2" w:rsidRDefault="00515C75" w:rsidP="004C6586">
      <w:pPr>
        <w:contextualSpacing/>
      </w:pPr>
      <w:r>
        <w:lastRenderedPageBreak/>
        <w:t xml:space="preserve">Kemp, B.J., 2007. The orientation of burials at Tell el-Amarna. In Z. </w:t>
      </w:r>
      <w:proofErr w:type="spellStart"/>
      <w:r>
        <w:t>Hawass</w:t>
      </w:r>
      <w:proofErr w:type="spellEnd"/>
      <w:r>
        <w:t xml:space="preserve"> and J. </w:t>
      </w:r>
      <w:r w:rsidR="00CE6328">
        <w:t xml:space="preserve">in </w:t>
      </w:r>
      <w:r>
        <w:t xml:space="preserve">Richards (ed.), </w:t>
      </w:r>
      <w:r>
        <w:rPr>
          <w:i/>
          <w:iCs/>
        </w:rPr>
        <w:t xml:space="preserve">The Archaeology and Art of Ancient Egypt: essays in </w:t>
      </w:r>
      <w:proofErr w:type="spellStart"/>
      <w:r>
        <w:rPr>
          <w:i/>
          <w:iCs/>
        </w:rPr>
        <w:t>honour</w:t>
      </w:r>
      <w:proofErr w:type="spellEnd"/>
      <w:r>
        <w:rPr>
          <w:i/>
          <w:iCs/>
        </w:rPr>
        <w:t xml:space="preserve"> of David B. O'Conn</w:t>
      </w:r>
      <w:r w:rsidR="009A4812">
        <w:rPr>
          <w:i/>
          <w:iCs/>
        </w:rPr>
        <w:t>o</w:t>
      </w:r>
      <w:r>
        <w:rPr>
          <w:i/>
          <w:iCs/>
        </w:rPr>
        <w:t>r</w:t>
      </w:r>
      <w:r w:rsidR="00CE6328">
        <w:t>,</w:t>
      </w:r>
      <w:r>
        <w:t xml:space="preserve"> 21-31.</w:t>
      </w:r>
    </w:p>
    <w:p w14:paraId="4FFB530D" w14:textId="77777777" w:rsidR="004C6586" w:rsidRDefault="003A74E2" w:rsidP="004C6586">
      <w:pPr>
        <w:contextualSpacing/>
      </w:pPr>
      <w:proofErr w:type="spellStart"/>
      <w:r>
        <w:t>Murnane</w:t>
      </w:r>
      <w:proofErr w:type="spellEnd"/>
      <w:r>
        <w:t xml:space="preserve"> 46,</w:t>
      </w:r>
      <w:r w:rsidR="00E07A82">
        <w:t xml:space="preserve"> 58, 70</w:t>
      </w:r>
    </w:p>
    <w:p w14:paraId="77AE02B2" w14:textId="77777777" w:rsidR="004C6586" w:rsidRDefault="004C6586" w:rsidP="004C6586">
      <w:pPr>
        <w:contextualSpacing/>
        <w:rPr>
          <w:i/>
        </w:rPr>
      </w:pPr>
      <w:proofErr w:type="gramStart"/>
      <w:r>
        <w:t>de</w:t>
      </w:r>
      <w:proofErr w:type="gramEnd"/>
      <w:r>
        <w:t xml:space="preserve"> </w:t>
      </w:r>
      <w:proofErr w:type="spellStart"/>
      <w:r>
        <w:t>Garis</w:t>
      </w:r>
      <w:proofErr w:type="spellEnd"/>
      <w:r>
        <w:t xml:space="preserve"> Davies, N.; 1905. </w:t>
      </w:r>
      <w:r>
        <w:rPr>
          <w:i/>
        </w:rPr>
        <w:t xml:space="preserve">The Rock Tombs of El-Amarna: Part III- the tombs of </w:t>
      </w:r>
      <w:proofErr w:type="spellStart"/>
      <w:r>
        <w:rPr>
          <w:i/>
        </w:rPr>
        <w:t>Huya</w:t>
      </w:r>
      <w:proofErr w:type="spellEnd"/>
      <w:r>
        <w:rPr>
          <w:i/>
        </w:rPr>
        <w:t xml:space="preserve"> and </w:t>
      </w:r>
      <w:proofErr w:type="spellStart"/>
      <w:r>
        <w:rPr>
          <w:i/>
        </w:rPr>
        <w:t>Ahmes</w:t>
      </w:r>
      <w:proofErr w:type="spellEnd"/>
    </w:p>
    <w:p w14:paraId="69AA52DC" w14:textId="77777777" w:rsidR="00FB083A" w:rsidRDefault="004C6586" w:rsidP="004C6586">
      <w:pPr>
        <w:contextualSpacing/>
      </w:pPr>
      <w:r>
        <w:rPr>
          <w:i/>
        </w:rPr>
        <w:t xml:space="preserve">The Tomb of </w:t>
      </w:r>
      <w:proofErr w:type="spellStart"/>
      <w:r>
        <w:rPr>
          <w:i/>
        </w:rPr>
        <w:t>Kheruef</w:t>
      </w:r>
      <w:proofErr w:type="spellEnd"/>
      <w:r>
        <w:rPr>
          <w:i/>
        </w:rPr>
        <w:t>: Theban Tomb 192</w:t>
      </w:r>
      <w:r>
        <w:t>. 1980. Chicago: Oriental Institute</w:t>
      </w:r>
    </w:p>
    <w:p w14:paraId="4639A6DA" w14:textId="77777777" w:rsidR="00571357" w:rsidRDefault="00571357" w:rsidP="004C6586">
      <w:pPr>
        <w:contextualSpacing/>
      </w:pPr>
    </w:p>
    <w:p w14:paraId="2CC2C65F" w14:textId="77777777" w:rsidR="00D643FC" w:rsidRDefault="00AA0124" w:rsidP="004C6586">
      <w:pPr>
        <w:contextualSpacing/>
        <w:rPr>
          <w:b/>
        </w:rPr>
      </w:pPr>
      <w:r w:rsidRPr="003E51A8">
        <w:rPr>
          <w:b/>
        </w:rPr>
        <w:t xml:space="preserve">Week </w:t>
      </w:r>
      <w:r w:rsidR="00FB083A">
        <w:rPr>
          <w:b/>
        </w:rPr>
        <w:t>13</w:t>
      </w:r>
      <w:proofErr w:type="gramStart"/>
      <w:r w:rsidR="00FB083A">
        <w:rPr>
          <w:b/>
        </w:rPr>
        <w:t>:</w:t>
      </w:r>
      <w:r w:rsidR="004A00E1" w:rsidRPr="003E51A8">
        <w:rPr>
          <w:b/>
        </w:rPr>
        <w:t>Post</w:t>
      </w:r>
      <w:proofErr w:type="gramEnd"/>
      <w:r w:rsidR="004A00E1" w:rsidRPr="003E51A8">
        <w:rPr>
          <w:b/>
        </w:rPr>
        <w:t>-Amarna</w:t>
      </w:r>
      <w:r w:rsidR="00571357" w:rsidRPr="003E51A8">
        <w:rPr>
          <w:b/>
        </w:rPr>
        <w:t xml:space="preserve">: proscription and </w:t>
      </w:r>
      <w:r w:rsidR="00CE6328" w:rsidRPr="003E51A8">
        <w:rPr>
          <w:b/>
        </w:rPr>
        <w:t>echoes</w:t>
      </w:r>
    </w:p>
    <w:p w14:paraId="3F68A246" w14:textId="7233D9E3" w:rsidR="006B428F" w:rsidRPr="003E51A8" w:rsidRDefault="006B428F" w:rsidP="004C6586">
      <w:pPr>
        <w:contextualSpacing/>
        <w:rPr>
          <w:b/>
        </w:rPr>
      </w:pPr>
      <w:r>
        <w:rPr>
          <w:b/>
        </w:rPr>
        <w:t>April 21</w:t>
      </w:r>
    </w:p>
    <w:p w14:paraId="474107CC" w14:textId="77777777" w:rsidR="00FB083A" w:rsidRPr="00A04DF2" w:rsidRDefault="00FB083A" w:rsidP="004C6586">
      <w:pPr>
        <w:contextualSpacing/>
      </w:pPr>
      <w:r>
        <w:t>Readings:</w:t>
      </w:r>
    </w:p>
    <w:p w14:paraId="24D4FC6C" w14:textId="77777777" w:rsidR="000831E8" w:rsidRDefault="00E07A82" w:rsidP="004C6586">
      <w:pPr>
        <w:contextualSpacing/>
      </w:pPr>
      <w:proofErr w:type="spellStart"/>
      <w:r>
        <w:t>Murnane</w:t>
      </w:r>
      <w:proofErr w:type="spellEnd"/>
      <w:r>
        <w:t>, 91-96, 99</w:t>
      </w:r>
    </w:p>
    <w:p w14:paraId="19E47083" w14:textId="77777777" w:rsidR="00E07A82" w:rsidRPr="000831E8" w:rsidRDefault="000831E8" w:rsidP="004C6586">
      <w:pPr>
        <w:contextualSpacing/>
      </w:pPr>
      <w:r>
        <w:t xml:space="preserve">Meltzer, “Herodotus on Akhenaten?” in </w:t>
      </w:r>
      <w:r>
        <w:rPr>
          <w:i/>
        </w:rPr>
        <w:t>DE</w:t>
      </w:r>
      <w:r>
        <w:t xml:space="preserve"> 1989, 51-56.</w:t>
      </w:r>
    </w:p>
    <w:p w14:paraId="4E4FC526" w14:textId="718B2F0F" w:rsidR="004A00E1" w:rsidRPr="00791EF9" w:rsidRDefault="00D643FC" w:rsidP="004C6586">
      <w:pPr>
        <w:contextualSpacing/>
      </w:pPr>
      <w:r>
        <w:t xml:space="preserve">Allen “The Amarna Succession” in </w:t>
      </w:r>
      <w:r>
        <w:rPr>
          <w:i/>
        </w:rPr>
        <w:t>Causing His Name to Live</w:t>
      </w:r>
      <w:r>
        <w:t>, 9-20</w:t>
      </w:r>
    </w:p>
    <w:p w14:paraId="654B1A18" w14:textId="77777777" w:rsidR="003A74E2" w:rsidRDefault="004A00E1" w:rsidP="004C6586">
      <w:pPr>
        <w:contextualSpacing/>
      </w:pPr>
      <w:r>
        <w:t xml:space="preserve">Dodson </w:t>
      </w:r>
      <w:r>
        <w:rPr>
          <w:i/>
        </w:rPr>
        <w:t>Amarna Sunset</w:t>
      </w:r>
      <w:r w:rsidR="00824A70">
        <w:rPr>
          <w:i/>
        </w:rPr>
        <w:t>,</w:t>
      </w:r>
      <w:r w:rsidR="00824A70">
        <w:t xml:space="preserve"> 61-138</w:t>
      </w:r>
    </w:p>
    <w:p w14:paraId="0D34FC04" w14:textId="77777777" w:rsidR="00B904A2" w:rsidRDefault="003A74E2" w:rsidP="004C6586">
      <w:pPr>
        <w:contextualSpacing/>
      </w:pPr>
      <w:r>
        <w:rPr>
          <w:rStyle w:val="Strong"/>
          <w:b w:val="0"/>
        </w:rPr>
        <w:t>Dodson</w:t>
      </w:r>
      <w:r>
        <w:t xml:space="preserve"> “Kings' Valley Tomb 55 and the Fates of the Amarna Kings” </w:t>
      </w:r>
      <w:r>
        <w:rPr>
          <w:rStyle w:val="Emphasis"/>
        </w:rPr>
        <w:t>Amarna Letters</w:t>
      </w:r>
      <w:r>
        <w:t xml:space="preserve"> 3 (San Francisco, 1994): 92-103.</w:t>
      </w:r>
    </w:p>
    <w:p w14:paraId="44B4CB24" w14:textId="77777777" w:rsidR="000831E8" w:rsidRDefault="00B904A2" w:rsidP="004C6586">
      <w:pPr>
        <w:contextualSpacing/>
      </w:pPr>
      <w:r>
        <w:t xml:space="preserve">Redford </w:t>
      </w:r>
      <w:r>
        <w:rPr>
          <w:i/>
        </w:rPr>
        <w:t>Akhenaten: Heretic King</w:t>
      </w:r>
      <w:r>
        <w:t xml:space="preserve">, </w:t>
      </w:r>
      <w:r w:rsidR="00D1572E">
        <w:t>204</w:t>
      </w:r>
      <w:r>
        <w:t>-235</w:t>
      </w:r>
    </w:p>
    <w:p w14:paraId="66E20BED" w14:textId="364217F7" w:rsidR="00581C41" w:rsidRDefault="000831E8" w:rsidP="004C6586">
      <w:pPr>
        <w:contextualSpacing/>
      </w:pPr>
      <w:proofErr w:type="spellStart"/>
      <w:r>
        <w:t>Hawass</w:t>
      </w:r>
      <w:proofErr w:type="spellEnd"/>
      <w:r>
        <w:t xml:space="preserve"> et al "Ancestry and Pathology in King Tutankhamun's Family" </w:t>
      </w:r>
      <w:r w:rsidRPr="00CE37AC">
        <w:rPr>
          <w:i/>
        </w:rPr>
        <w:t>JAMA</w:t>
      </w:r>
      <w:r>
        <w:t>. 2010;</w:t>
      </w:r>
      <w:r w:rsidR="00CE37AC">
        <w:t xml:space="preserve"> </w:t>
      </w:r>
      <w:r>
        <w:t>303(7):638-647</w:t>
      </w:r>
    </w:p>
    <w:p w14:paraId="4A3AC403" w14:textId="77777777" w:rsidR="006B428F" w:rsidRDefault="006B428F" w:rsidP="004C6586">
      <w:pPr>
        <w:contextualSpacing/>
      </w:pPr>
    </w:p>
    <w:p w14:paraId="0C7FC2F1" w14:textId="01946DBA" w:rsidR="00571357" w:rsidRPr="00581C41" w:rsidRDefault="00CE37AC" w:rsidP="004C6586">
      <w:pPr>
        <w:contextualSpacing/>
        <w:rPr>
          <w:b/>
        </w:rPr>
      </w:pPr>
      <w:r>
        <w:rPr>
          <w:b/>
        </w:rPr>
        <w:t>April 23: SECOND EXAM</w:t>
      </w:r>
    </w:p>
    <w:sectPr w:rsidR="00571357" w:rsidRPr="00581C41" w:rsidSect="005713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272D2"/>
    <w:multiLevelType w:val="hybridMultilevel"/>
    <w:tmpl w:val="EF925FF6"/>
    <w:lvl w:ilvl="0" w:tplc="E752F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7"/>
    <w:rsid w:val="000831E8"/>
    <w:rsid w:val="000B0570"/>
    <w:rsid w:val="0011436D"/>
    <w:rsid w:val="0014029B"/>
    <w:rsid w:val="001B6284"/>
    <w:rsid w:val="001F26BD"/>
    <w:rsid w:val="00203B62"/>
    <w:rsid w:val="00274376"/>
    <w:rsid w:val="002E70EA"/>
    <w:rsid w:val="00350AFA"/>
    <w:rsid w:val="00357E46"/>
    <w:rsid w:val="00362FA1"/>
    <w:rsid w:val="003A74E2"/>
    <w:rsid w:val="003B02A9"/>
    <w:rsid w:val="003E51A8"/>
    <w:rsid w:val="00430B4A"/>
    <w:rsid w:val="004A00E1"/>
    <w:rsid w:val="004A5472"/>
    <w:rsid w:val="004C48AF"/>
    <w:rsid w:val="004C6586"/>
    <w:rsid w:val="00515C75"/>
    <w:rsid w:val="00544850"/>
    <w:rsid w:val="00552420"/>
    <w:rsid w:val="00562232"/>
    <w:rsid w:val="00571357"/>
    <w:rsid w:val="00581C41"/>
    <w:rsid w:val="00593261"/>
    <w:rsid w:val="006020B7"/>
    <w:rsid w:val="0066303C"/>
    <w:rsid w:val="006B428F"/>
    <w:rsid w:val="006C11FB"/>
    <w:rsid w:val="00764F6B"/>
    <w:rsid w:val="0077007A"/>
    <w:rsid w:val="00791EF9"/>
    <w:rsid w:val="007A04D8"/>
    <w:rsid w:val="00817287"/>
    <w:rsid w:val="00824A70"/>
    <w:rsid w:val="00931FE0"/>
    <w:rsid w:val="00997EC0"/>
    <w:rsid w:val="009A4812"/>
    <w:rsid w:val="00A04DF2"/>
    <w:rsid w:val="00A46071"/>
    <w:rsid w:val="00A47AC6"/>
    <w:rsid w:val="00AA0124"/>
    <w:rsid w:val="00AA6E92"/>
    <w:rsid w:val="00B04A98"/>
    <w:rsid w:val="00B163B0"/>
    <w:rsid w:val="00B35A5F"/>
    <w:rsid w:val="00B8777A"/>
    <w:rsid w:val="00B904A2"/>
    <w:rsid w:val="00C62C75"/>
    <w:rsid w:val="00CC3289"/>
    <w:rsid w:val="00CE37AC"/>
    <w:rsid w:val="00CE6328"/>
    <w:rsid w:val="00D1572E"/>
    <w:rsid w:val="00D44552"/>
    <w:rsid w:val="00D51E63"/>
    <w:rsid w:val="00D643FC"/>
    <w:rsid w:val="00D85DB1"/>
    <w:rsid w:val="00E07A82"/>
    <w:rsid w:val="00E42F2D"/>
    <w:rsid w:val="00E63B6E"/>
    <w:rsid w:val="00EB4B5E"/>
    <w:rsid w:val="00EE7B08"/>
    <w:rsid w:val="00F30714"/>
    <w:rsid w:val="00F37BAE"/>
    <w:rsid w:val="00F65537"/>
    <w:rsid w:val="00F91470"/>
    <w:rsid w:val="00FB083A"/>
    <w:rsid w:val="00FE2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B7A8F"/>
  <w15:docId w15:val="{04B0F2C0-1B6C-4F3B-A16D-C1AC860E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6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189E"/>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D7189E"/>
    <w:rPr>
      <w:rFonts w:ascii="Lucida Grande" w:hAnsi="Lucida Grande"/>
      <w:sz w:val="18"/>
      <w:szCs w:val="18"/>
    </w:rPr>
  </w:style>
  <w:style w:type="character" w:customStyle="1" w:styleId="BalloonTextChar0">
    <w:name w:val="Balloon Text Char"/>
    <w:basedOn w:val="DefaultParagraphFont"/>
    <w:uiPriority w:val="99"/>
    <w:semiHidden/>
    <w:rsid w:val="00D718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7189E"/>
    <w:rPr>
      <w:rFonts w:ascii="Lucida Grande" w:hAnsi="Lucida Grande"/>
      <w:sz w:val="18"/>
      <w:szCs w:val="18"/>
    </w:rPr>
  </w:style>
  <w:style w:type="character" w:styleId="Emphasis">
    <w:name w:val="Emphasis"/>
    <w:basedOn w:val="DefaultParagraphFont"/>
    <w:uiPriority w:val="20"/>
    <w:rsid w:val="00571357"/>
    <w:rPr>
      <w:i/>
    </w:rPr>
  </w:style>
  <w:style w:type="paragraph" w:styleId="NormalWeb">
    <w:name w:val="Normal (Web)"/>
    <w:basedOn w:val="Normal"/>
    <w:uiPriority w:val="99"/>
    <w:rsid w:val="00571357"/>
    <w:pPr>
      <w:spacing w:beforeLines="1" w:afterLines="1"/>
    </w:pPr>
    <w:rPr>
      <w:rFonts w:ascii="Times" w:hAnsi="Times" w:cs="Times New Roman"/>
      <w:sz w:val="20"/>
      <w:szCs w:val="20"/>
    </w:rPr>
  </w:style>
  <w:style w:type="paragraph" w:styleId="ListParagraph">
    <w:name w:val="List Paragraph"/>
    <w:basedOn w:val="Normal"/>
    <w:uiPriority w:val="34"/>
    <w:qFormat/>
    <w:rsid w:val="004A5472"/>
    <w:pPr>
      <w:ind w:left="720"/>
      <w:contextualSpacing/>
    </w:pPr>
  </w:style>
  <w:style w:type="character" w:styleId="Hyperlink">
    <w:name w:val="Hyperlink"/>
    <w:basedOn w:val="DefaultParagraphFont"/>
    <w:uiPriority w:val="99"/>
    <w:rsid w:val="00D51E63"/>
    <w:rPr>
      <w:color w:val="0000FF" w:themeColor="hyperlink"/>
      <w:u w:val="single"/>
    </w:rPr>
  </w:style>
  <w:style w:type="character" w:styleId="Strong">
    <w:name w:val="Strong"/>
    <w:basedOn w:val="DefaultParagraphFont"/>
    <w:uiPriority w:val="22"/>
    <w:rsid w:val="003A74E2"/>
    <w:rPr>
      <w:b/>
    </w:rPr>
  </w:style>
  <w:style w:type="character" w:styleId="FollowedHyperlink">
    <w:name w:val="FollowedHyperlink"/>
    <w:basedOn w:val="DefaultParagraphFont"/>
    <w:rsid w:val="00A04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0025">
      <w:bodyDiv w:val="1"/>
      <w:marLeft w:val="0"/>
      <w:marRight w:val="0"/>
      <w:marTop w:val="0"/>
      <w:marBottom w:val="0"/>
      <w:divBdr>
        <w:top w:val="none" w:sz="0" w:space="0" w:color="auto"/>
        <w:left w:val="none" w:sz="0" w:space="0" w:color="auto"/>
        <w:bottom w:val="none" w:sz="0" w:space="0" w:color="auto"/>
        <w:right w:val="none" w:sz="0" w:space="0" w:color="auto"/>
      </w:divBdr>
    </w:div>
    <w:div w:id="194799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_drennan@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_booker@brown.edu" TargetMode="External"/><Relationship Id="rId5" Type="http://schemas.openxmlformats.org/officeDocument/2006/relationships/hyperlink" Target="mailto:Laurel_bestock@brow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Bestock</dc:creator>
  <cp:keywords/>
  <cp:lastModifiedBy>Emily Drennan</cp:lastModifiedBy>
  <cp:revision>2</cp:revision>
  <dcterms:created xsi:type="dcterms:W3CDTF">2015-01-21T21:59:00Z</dcterms:created>
  <dcterms:modified xsi:type="dcterms:W3CDTF">2015-01-21T21:59:00Z</dcterms:modified>
</cp:coreProperties>
</file>